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51" w:rsidRDefault="00795651" w:rsidP="00B7596F">
      <w:pPr>
        <w:pStyle w:val="Naslov"/>
        <w:jc w:val="both"/>
        <w:rPr>
          <w:sz w:val="24"/>
        </w:rPr>
      </w:pPr>
    </w:p>
    <w:p w:rsidR="00795651" w:rsidRPr="00765605" w:rsidRDefault="00795651" w:rsidP="00795651">
      <w:pPr>
        <w:jc w:val="both"/>
        <w:rPr>
          <w:b/>
        </w:rPr>
      </w:pPr>
      <w:r w:rsidRPr="00765605">
        <w:rPr>
          <w:b/>
        </w:rPr>
        <w:t>POTRAŽIVANJA PO DANIM ZAJMOVIMA TEMELJEM UGOVORA O PRIJENOSU SREDSTAVA</w:t>
      </w:r>
    </w:p>
    <w:p w:rsidR="00795651" w:rsidRPr="00765605" w:rsidRDefault="00795651" w:rsidP="00795651">
      <w:pPr>
        <w:jc w:val="both"/>
      </w:pPr>
    </w:p>
    <w:p w:rsidR="00795651" w:rsidRPr="00765605" w:rsidRDefault="00795651" w:rsidP="00795651">
      <w:pPr>
        <w:spacing w:line="276" w:lineRule="auto"/>
        <w:jc w:val="both"/>
      </w:pPr>
      <w:r w:rsidRPr="00765605">
        <w:t xml:space="preserve">23. studenog 2017. Vlada Republike Hrvatske je donijela Odluku o izdavanju </w:t>
      </w:r>
      <w:proofErr w:type="spellStart"/>
      <w:r w:rsidRPr="00765605">
        <w:t>euroobveznica</w:t>
      </w:r>
      <w:proofErr w:type="spellEnd"/>
      <w:r w:rsidRPr="00765605">
        <w:t xml:space="preserve"> u iznosu od 1,275 milijarde eura</w:t>
      </w:r>
      <w:r w:rsidRPr="00765605">
        <w:rPr>
          <w:b/>
        </w:rPr>
        <w:t>.</w:t>
      </w:r>
      <w:r w:rsidRPr="00765605">
        <w:t xml:space="preserve"> Obveznice su izdane po cijeni od 97,883% nominalnog iznosa. Kamatni kupon je nepromjenjiv i iznosi 2,75% godišnje. Kamata po obveznicama isplaćuje se jednom godišnje počevši od 27. siječnja 2019., a glavnica će se u cijelosti  isplatiti po dospijeću 27. siječnja 2030. </w:t>
      </w:r>
    </w:p>
    <w:p w:rsidR="00795651" w:rsidRPr="00765605" w:rsidRDefault="00795651" w:rsidP="00795651">
      <w:pPr>
        <w:spacing w:line="276" w:lineRule="auto"/>
        <w:jc w:val="both"/>
      </w:pPr>
    </w:p>
    <w:p w:rsidR="00795651" w:rsidRDefault="00795651" w:rsidP="00795651">
      <w:pPr>
        <w:spacing w:line="276" w:lineRule="auto"/>
        <w:jc w:val="both"/>
        <w:rPr>
          <w:bCs/>
        </w:rPr>
      </w:pPr>
      <w:r w:rsidRPr="00765605">
        <w:rPr>
          <w:bCs/>
        </w:rPr>
        <w:t>Sredstva ostvarena zaduženjem doznačila su se društvima Hrvatske ceste d.o.o</w:t>
      </w:r>
      <w:r>
        <w:rPr>
          <w:bCs/>
        </w:rPr>
        <w:t xml:space="preserve">., Hrvatske autoceste d.o.o. i </w:t>
      </w:r>
      <w:r w:rsidRPr="00765605">
        <w:rPr>
          <w:bCs/>
        </w:rPr>
        <w:t>Autocesta Rijeka-Zagreb d.d. u svrhu otplata i refinanciranja postojećih obveza društava osiguranih državnim jamstvima te kratkoročnih kreditnih obveza. Ministarstvo financija ugovorima s društvima utvrdilo je korištenje sredstava i međusobna prava i obveze.</w:t>
      </w:r>
    </w:p>
    <w:p w:rsidR="00795651" w:rsidRPr="00765605" w:rsidRDefault="00795651" w:rsidP="00795651">
      <w:pPr>
        <w:spacing w:line="276" w:lineRule="auto"/>
        <w:jc w:val="both"/>
      </w:pPr>
    </w:p>
    <w:p w:rsidR="00795651" w:rsidRDefault="00795651" w:rsidP="00795651">
      <w:pPr>
        <w:pStyle w:val="Opisslike"/>
        <w:keepNext/>
        <w:rPr>
          <w:bCs w:val="0"/>
          <w:i/>
          <w:sz w:val="24"/>
          <w:szCs w:val="24"/>
        </w:rPr>
      </w:pPr>
      <w:r w:rsidRPr="00765605">
        <w:rPr>
          <w:b w:val="0"/>
          <w:i/>
          <w:color w:val="auto"/>
          <w:sz w:val="24"/>
          <w:szCs w:val="24"/>
        </w:rPr>
        <w:t xml:space="preserve">Tablica </w:t>
      </w:r>
      <w:r>
        <w:rPr>
          <w:b w:val="0"/>
          <w:i/>
          <w:color w:val="auto"/>
          <w:sz w:val="24"/>
          <w:szCs w:val="24"/>
        </w:rPr>
        <w:t>7</w:t>
      </w:r>
      <w:r w:rsidRPr="00765605">
        <w:rPr>
          <w:b w:val="0"/>
          <w:i/>
          <w:color w:val="auto"/>
          <w:sz w:val="24"/>
          <w:szCs w:val="24"/>
        </w:rPr>
        <w:t xml:space="preserve">. Potraživanja po zajmovima danim HC, HAC, ARZ, temeljem ugovora o prijenosu sredstava, stanje </w:t>
      </w:r>
      <w:r>
        <w:rPr>
          <w:b w:val="0"/>
          <w:i/>
          <w:color w:val="auto"/>
          <w:sz w:val="24"/>
          <w:szCs w:val="24"/>
        </w:rPr>
        <w:t>30. lipnja</w:t>
      </w:r>
      <w:r w:rsidRPr="00765605">
        <w:rPr>
          <w:b w:val="0"/>
          <w:i/>
          <w:color w:val="auto"/>
          <w:sz w:val="24"/>
          <w:szCs w:val="24"/>
        </w:rPr>
        <w:t xml:space="preserve"> 20</w:t>
      </w:r>
      <w:r>
        <w:rPr>
          <w:b w:val="0"/>
          <w:i/>
          <w:color w:val="auto"/>
          <w:sz w:val="24"/>
          <w:szCs w:val="24"/>
        </w:rPr>
        <w:t>21</w:t>
      </w:r>
      <w:r w:rsidRPr="00765605">
        <w:rPr>
          <w:b w:val="0"/>
          <w:i/>
          <w:color w:val="auto"/>
          <w:sz w:val="24"/>
          <w:szCs w:val="24"/>
        </w:rPr>
        <w:t>.</w:t>
      </w:r>
      <w:r w:rsidRPr="00765605">
        <w:rPr>
          <w:bCs w:val="0"/>
          <w:i/>
          <w:sz w:val="24"/>
          <w:szCs w:val="24"/>
        </w:rPr>
        <w:t xml:space="preserve"> </w:t>
      </w:r>
    </w:p>
    <w:p w:rsidR="00795651" w:rsidRPr="003676E8" w:rsidRDefault="00795651" w:rsidP="00795651">
      <w:r w:rsidRPr="003676E8">
        <w:rPr>
          <w:noProof/>
        </w:rPr>
        <w:drawing>
          <wp:inline distT="0" distB="0" distL="0" distR="0" wp14:anchorId="03F4B9F6" wp14:editId="5E8EBA01">
            <wp:extent cx="5760720" cy="288036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795651" w:rsidRPr="00765605" w:rsidRDefault="00795651" w:rsidP="00795651">
      <w:pPr>
        <w:jc w:val="both"/>
        <w:rPr>
          <w:i/>
        </w:rPr>
      </w:pPr>
      <w:r w:rsidRPr="00765605">
        <w:rPr>
          <w:i/>
        </w:rPr>
        <w:t>Izvor: Ministarstvo financija</w:t>
      </w:r>
    </w:p>
    <w:p w:rsidR="00795651" w:rsidRDefault="00795651" w:rsidP="00B7596F">
      <w:pPr>
        <w:pStyle w:val="Naslov"/>
        <w:jc w:val="both"/>
        <w:rPr>
          <w:sz w:val="24"/>
        </w:rPr>
      </w:pPr>
    </w:p>
    <w:p w:rsidR="00AB26C3" w:rsidRDefault="00AB26C3" w:rsidP="00B7596F">
      <w:pPr>
        <w:pStyle w:val="Naslov"/>
        <w:jc w:val="both"/>
        <w:rPr>
          <w:sz w:val="24"/>
        </w:rPr>
      </w:pPr>
    </w:p>
    <w:p w:rsidR="00BB6652" w:rsidRPr="008702D0" w:rsidRDefault="00703DD8" w:rsidP="00B7596F">
      <w:pPr>
        <w:pStyle w:val="Naslov"/>
        <w:jc w:val="both"/>
        <w:rPr>
          <w:sz w:val="24"/>
        </w:rPr>
      </w:pPr>
      <w:r w:rsidRPr="008702D0">
        <w:rPr>
          <w:sz w:val="24"/>
        </w:rPr>
        <w:t xml:space="preserve">POTRAŽIVANJA PO KREDITIMA BIVŠEG </w:t>
      </w:r>
      <w:r w:rsidR="00EC104E" w:rsidRPr="008702D0">
        <w:rPr>
          <w:sz w:val="24"/>
        </w:rPr>
        <w:t>F</w:t>
      </w:r>
      <w:r w:rsidR="00F07DD2" w:rsidRPr="008702D0">
        <w:rPr>
          <w:sz w:val="24"/>
        </w:rPr>
        <w:t>OND</w:t>
      </w:r>
      <w:r w:rsidRPr="008702D0">
        <w:rPr>
          <w:sz w:val="24"/>
        </w:rPr>
        <w:t>A</w:t>
      </w:r>
      <w:r w:rsidR="00F07DD2" w:rsidRPr="008702D0">
        <w:rPr>
          <w:sz w:val="24"/>
        </w:rPr>
        <w:t xml:space="preserve"> ZA RAZVOJ I ZAPOŠLJAVANJE</w:t>
      </w:r>
    </w:p>
    <w:p w:rsidR="00EC104E" w:rsidRPr="008E7F52" w:rsidRDefault="00EC104E" w:rsidP="00EC104E">
      <w:pPr>
        <w:jc w:val="both"/>
      </w:pPr>
    </w:p>
    <w:p w:rsidR="007D0B13" w:rsidRPr="004764CA" w:rsidRDefault="007D0B13" w:rsidP="00EC104E">
      <w:pPr>
        <w:jc w:val="both"/>
        <w:rPr>
          <w:lang w:eastAsia="en-US"/>
        </w:rPr>
      </w:pPr>
    </w:p>
    <w:p w:rsidR="007D0B13" w:rsidRPr="004764CA" w:rsidRDefault="007D0B13" w:rsidP="007D0B13">
      <w:pPr>
        <w:jc w:val="both"/>
      </w:pPr>
      <w:r w:rsidRPr="004764CA">
        <w:t>Fond za razvoj i zapošljavanje osnovan je Zakonom o Fondu za razvoj i zapošljavan</w:t>
      </w:r>
      <w:r w:rsidR="00EA247F" w:rsidRPr="004764CA">
        <w:t>je (Narodne novine, broj 107/01</w:t>
      </w:r>
      <w:r w:rsidR="00F65768" w:rsidRPr="004764CA">
        <w:t xml:space="preserve">), </w:t>
      </w:r>
      <w:r w:rsidR="00EA247F" w:rsidRPr="004764CA">
        <w:t>koji</w:t>
      </w:r>
      <w:r w:rsidR="00F65768" w:rsidRPr="004764CA">
        <w:t xml:space="preserve"> se primjenjivao od </w:t>
      </w:r>
      <w:r w:rsidRPr="004764CA">
        <w:t>1.</w:t>
      </w:r>
      <w:r w:rsidR="00F65768" w:rsidRPr="004764CA">
        <w:t xml:space="preserve"> siječnja 2002. do </w:t>
      </w:r>
      <w:r w:rsidRPr="004764CA">
        <w:t>9.</w:t>
      </w:r>
      <w:r w:rsidR="00F65768" w:rsidRPr="004764CA">
        <w:t xml:space="preserve"> studenog </w:t>
      </w:r>
      <w:r w:rsidRPr="004764CA">
        <w:t>2010. godine.</w:t>
      </w:r>
    </w:p>
    <w:p w:rsidR="007D0B13" w:rsidRPr="004764CA" w:rsidRDefault="007D0B13" w:rsidP="007D0B13">
      <w:pPr>
        <w:jc w:val="both"/>
      </w:pPr>
    </w:p>
    <w:p w:rsidR="00205337" w:rsidRPr="004764CA" w:rsidRDefault="007D0B13" w:rsidP="00205337">
      <w:pPr>
        <w:jc w:val="both"/>
      </w:pPr>
      <w:r w:rsidRPr="004764CA">
        <w:t>Zakonom o prestanku važenja Zakona o Fondu za razvoj i zapošljavanje (Narodne novine, broj 124/10), poslove bivšeg Fo</w:t>
      </w:r>
      <w:r w:rsidR="003B5416" w:rsidRPr="004764CA">
        <w:t xml:space="preserve">nda za razvoj i zapošljavanje </w:t>
      </w:r>
      <w:r w:rsidRPr="004764CA">
        <w:t>preuzelo je Ministarstvo gospodarstva, rada i poduzetništva, a 2012. godine poslove nadzora i naplate odobrenih kredita preuzelo je Ministarstvo financija.</w:t>
      </w:r>
      <w:r w:rsidR="00205337" w:rsidRPr="004764CA">
        <w:t xml:space="preserve"> </w:t>
      </w:r>
    </w:p>
    <w:p w:rsidR="00205337" w:rsidRPr="004764CA" w:rsidRDefault="00205337" w:rsidP="00205337">
      <w:pPr>
        <w:jc w:val="both"/>
      </w:pPr>
    </w:p>
    <w:p w:rsidR="00205337" w:rsidRPr="004764CA" w:rsidRDefault="00205337" w:rsidP="00205337">
      <w:pPr>
        <w:jc w:val="both"/>
      </w:pPr>
      <w:r w:rsidRPr="004764CA">
        <w:t>Ministarstvo financija preuzelo je 210 kreditnih partija koje se odnose na 192 korisnika kredita (napomena: broj korisnika kredita i broj kreditnih partija nije identičan, jer neki korisnici kredita imaju više kreditnih partija).</w:t>
      </w:r>
      <w:r w:rsidR="006C424E" w:rsidRPr="006C424E">
        <w:t xml:space="preserve"> </w:t>
      </w:r>
      <w:r w:rsidR="006C424E">
        <w:t>Na dan 31. prosinca 2020. godine</w:t>
      </w:r>
      <w:r w:rsidR="006C424E" w:rsidRPr="00B250A2">
        <w:t xml:space="preserve"> ukupan broj korisnika kredita je 191, budući da je jedan korisnik kredita temeljem Ugovora o preuzimanju duga, preuzeo dug povezanog društva, drugog korisnika kredita.</w:t>
      </w:r>
    </w:p>
    <w:p w:rsidR="007D0B13" w:rsidRPr="004764CA" w:rsidRDefault="007D0B13" w:rsidP="004460EA">
      <w:pPr>
        <w:jc w:val="both"/>
      </w:pPr>
    </w:p>
    <w:p w:rsidR="008E7F52" w:rsidRPr="004764CA" w:rsidRDefault="008E7F52" w:rsidP="008E7F52">
      <w:pPr>
        <w:jc w:val="both"/>
        <w:rPr>
          <w:i/>
        </w:rPr>
      </w:pPr>
      <w:r w:rsidRPr="004764CA">
        <w:rPr>
          <w:i/>
        </w:rPr>
        <w:t>Tablica</w:t>
      </w:r>
      <w:r w:rsidR="00795651">
        <w:rPr>
          <w:i/>
        </w:rPr>
        <w:t xml:space="preserve"> 8</w:t>
      </w:r>
      <w:r w:rsidRPr="004764CA">
        <w:rPr>
          <w:i/>
        </w:rPr>
        <w:t>: Fond za razvoj i zapošljavanje – stanje pr</w:t>
      </w:r>
      <w:r w:rsidR="004764CA" w:rsidRPr="004764CA">
        <w:rPr>
          <w:i/>
        </w:rPr>
        <w:t>euzetih kredita na dan 31.12.2020</w:t>
      </w:r>
      <w:r w:rsidRPr="004764CA">
        <w:rPr>
          <w:i/>
        </w:rPr>
        <w:t>. u HRK</w:t>
      </w:r>
    </w:p>
    <w:p w:rsidR="00B250A2" w:rsidRDefault="00B250A2" w:rsidP="008E7F52">
      <w:pPr>
        <w:jc w:val="both"/>
      </w:pPr>
      <w:r w:rsidRPr="00B250A2">
        <w:rPr>
          <w:noProof/>
        </w:rPr>
        <w:drawing>
          <wp:inline distT="0" distB="0" distL="0" distR="0">
            <wp:extent cx="5760720" cy="2981609"/>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981609"/>
                    </a:xfrm>
                    <a:prstGeom prst="rect">
                      <a:avLst/>
                    </a:prstGeom>
                    <a:noFill/>
                    <a:ln>
                      <a:noFill/>
                    </a:ln>
                  </pic:spPr>
                </pic:pic>
              </a:graphicData>
            </a:graphic>
          </wp:inline>
        </w:drawing>
      </w:r>
    </w:p>
    <w:p w:rsidR="00B250A2" w:rsidRDefault="00B250A2" w:rsidP="008E7F52">
      <w:pPr>
        <w:jc w:val="both"/>
      </w:pPr>
    </w:p>
    <w:p w:rsidR="006C424E" w:rsidRDefault="006C424E" w:rsidP="004764CA">
      <w:pPr>
        <w:jc w:val="both"/>
      </w:pPr>
    </w:p>
    <w:p w:rsidR="004764CA" w:rsidRPr="004764CA" w:rsidRDefault="004764CA" w:rsidP="004764CA">
      <w:pPr>
        <w:jc w:val="both"/>
      </w:pPr>
      <w:r w:rsidRPr="004764CA">
        <w:t xml:space="preserve">U Glavnoj knjizi Državnog proračuna evidentirano je stanje potraživanja po kreditima bivšeg Fonda za razvoj i zapošljavanje, koje na dan 31. prosinca 2020. godine ukupno iznosi 1.072.359.940,23 kuna, od čega stanje na ime dospjele glavnice iznosi 817.318.828,04 kuna, na ime nedospjele glavnice iznosi 18.414.152,19 kuna, odnosno stanje potraživanja na ime ukupne glavnice iznosi 835.732.980,23 kuna te na ime ukupno obračunatih kamata 236.626.960,00 kuna od čega redovna kamata iznosi 80.835.772,52 kuna, a zatezna kamata 155.791.187,48 kuna. Potraživanja na ime glavnice duga za 2 korisnika kredita u postupku </w:t>
      </w:r>
      <w:proofErr w:type="spellStart"/>
      <w:r w:rsidRPr="004764CA">
        <w:t>predstečajne</w:t>
      </w:r>
      <w:proofErr w:type="spellEnd"/>
      <w:r w:rsidRPr="004764CA">
        <w:t xml:space="preserve"> nagodbe iznose 11.968.454,94 kuna, za 25 korisnika kredita u stečajnom postupku iznose 207.912.522,26 kuna, dok se postupci prisilne naplate vode protiv 3 korisnika kredita čija potraživanja na ime glavnice iznose 18.415.497,80 kuna, a za 65 korisnika kredita brisana iz sudskog registra, čija potraživanja na ime glavnice iznose 476.099.616,36 kuna, u tijeku su odnosno pokreću se postupci prisilne naplate protiv jamaca i založnih dužnika.</w:t>
      </w:r>
    </w:p>
    <w:p w:rsidR="006C424E" w:rsidRDefault="006C424E" w:rsidP="00857A28">
      <w:pPr>
        <w:jc w:val="both"/>
      </w:pPr>
    </w:p>
    <w:p w:rsidR="00F07DD2" w:rsidRDefault="00857A28" w:rsidP="00857A28">
      <w:pPr>
        <w:jc w:val="both"/>
      </w:pPr>
      <w:r w:rsidRPr="004764CA">
        <w:t>Na ime povrata kredita bivšeg Fonda za razvoj i zapošljavanje u razdoblju o</w:t>
      </w:r>
      <w:r w:rsidR="004764CA" w:rsidRPr="004764CA">
        <w:t>d 1. siječnja do 30. lipnja 2021</w:t>
      </w:r>
      <w:r w:rsidRPr="004764CA">
        <w:t xml:space="preserve">. godine evidentirane su uplate u korist Državnog proračuna u ukupnom iznosu </w:t>
      </w:r>
      <w:r w:rsidR="004764CA" w:rsidRPr="004764CA">
        <w:t xml:space="preserve">21.924.073,14 </w:t>
      </w:r>
      <w:r w:rsidR="007230EB">
        <w:t xml:space="preserve">kuna, te je stečena imovina (nekretnine), na ime potraživanja Ministarstva financija kao </w:t>
      </w:r>
      <w:proofErr w:type="spellStart"/>
      <w:r w:rsidR="007230EB">
        <w:t>razlučnog</w:t>
      </w:r>
      <w:proofErr w:type="spellEnd"/>
      <w:r w:rsidR="007230EB">
        <w:t xml:space="preserve"> vjerovnika u stečajnom postupku, u iznosu od 4.381.482,05 kuna.</w:t>
      </w:r>
    </w:p>
    <w:p w:rsidR="0040536B" w:rsidRPr="0040536B" w:rsidRDefault="0040536B" w:rsidP="00857A28">
      <w:pPr>
        <w:jc w:val="both"/>
      </w:pPr>
    </w:p>
    <w:p w:rsidR="00F07DD2" w:rsidRPr="004764CA" w:rsidRDefault="00F07DD2" w:rsidP="00F07DD2">
      <w:pPr>
        <w:jc w:val="both"/>
        <w:rPr>
          <w:lang w:eastAsia="en-US"/>
        </w:rPr>
      </w:pPr>
      <w:r w:rsidRPr="004764CA">
        <w:t xml:space="preserve">Vlada Republike Hrvatske je na sjednici održanoj </w:t>
      </w:r>
      <w:r w:rsidRPr="004764CA">
        <w:rPr>
          <w:lang w:eastAsia="en-US"/>
        </w:rPr>
        <w:t xml:space="preserve">15. ožujka 2019. godine donijela </w:t>
      </w:r>
      <w:r w:rsidRPr="004764CA">
        <w:t xml:space="preserve">Odluku o otpisu potraživanja po kreditima odobrenim po Kreditnom programu zapošljavanja razvojačenih pripadnika Hrvatske vojske i kreditima odobrenim od strane bivšeg Fonda za razvoj i zapošljavanje </w:t>
      </w:r>
      <w:r w:rsidRPr="004764CA">
        <w:rPr>
          <w:lang w:eastAsia="en-US"/>
        </w:rPr>
        <w:t xml:space="preserve">(Klasa: 022-03/19-04/56, </w:t>
      </w:r>
      <w:proofErr w:type="spellStart"/>
      <w:r w:rsidRPr="004764CA">
        <w:rPr>
          <w:lang w:eastAsia="en-US"/>
        </w:rPr>
        <w:t>Urbroj</w:t>
      </w:r>
      <w:proofErr w:type="spellEnd"/>
      <w:r w:rsidRPr="004764CA">
        <w:rPr>
          <w:lang w:eastAsia="en-US"/>
        </w:rPr>
        <w:t xml:space="preserve">: 50301-29/09-19-3; dalje u tekstu: Odluka). </w:t>
      </w:r>
    </w:p>
    <w:p w:rsidR="00AB26C3" w:rsidRDefault="00AB26C3" w:rsidP="0040536B">
      <w:pPr>
        <w:jc w:val="both"/>
      </w:pPr>
    </w:p>
    <w:p w:rsidR="0040536B" w:rsidRPr="004764CA" w:rsidRDefault="0040536B" w:rsidP="0040536B">
      <w:pPr>
        <w:jc w:val="both"/>
      </w:pPr>
      <w:r w:rsidRPr="004764CA">
        <w:t>Sukladno točkama IV. i V. Odluke u prvom polugodištu 2021</w:t>
      </w:r>
      <w:r>
        <w:t>. godine</w:t>
      </w:r>
      <w:r w:rsidRPr="004764CA">
        <w:t xml:space="preserve"> Ministarstvo financija provelo je otpise za 1 korisnika kredita u ukupnom iznosu od 14.039.162,12 kuna (od toga se iznos od 6.450.000,00 kuna odnosi na glavnicu, a iznos od 7.589.162,12 kuna na zateznu kamatu), koji je izvrš</w:t>
      </w:r>
      <w:r w:rsidR="007230EB">
        <w:t>io jednokratnu uplatu u korist D</w:t>
      </w:r>
      <w:r w:rsidRPr="004764CA">
        <w:t xml:space="preserve">ržavnog proračuna u iznosu od 11.784.447,99 kuna. </w:t>
      </w:r>
    </w:p>
    <w:p w:rsidR="00130A91" w:rsidRPr="004764CA" w:rsidRDefault="00130A91" w:rsidP="00130A91">
      <w:pPr>
        <w:jc w:val="both"/>
      </w:pPr>
    </w:p>
    <w:p w:rsidR="00130A91" w:rsidRPr="007230EB" w:rsidRDefault="00CE473C" w:rsidP="00CE473C">
      <w:pPr>
        <w:jc w:val="both"/>
      </w:pPr>
      <w:r w:rsidRPr="008F7D38">
        <w:t>Ističemo, kako epidemija bolesti COVID-19 uzrokovane virusom SARS-CoV-2 utječe na</w:t>
      </w:r>
      <w:r w:rsidRPr="00AF4EE0">
        <w:t xml:space="preserve"> gospodarsku aktivnost u Republici Hrvatskoj, u prvom redu na likvidnost korisnika kredita, ali i na aktivnost poslovnih banaka. Iz tog razloga</w:t>
      </w:r>
      <w:r w:rsidR="00EB6414" w:rsidRPr="00AF4EE0">
        <w:t>,</w:t>
      </w:r>
      <w:r w:rsidRPr="00AF4EE0">
        <w:t xml:space="preserve"> korisnici kredita koji su </w:t>
      </w:r>
      <w:r w:rsidR="00C82D24" w:rsidRPr="00AF4EE0">
        <w:t xml:space="preserve">u vrijeme nastupanja epidemije </w:t>
      </w:r>
      <w:r w:rsidRPr="00AF4EE0">
        <w:t xml:space="preserve">bili u pregovorima s bankama radi </w:t>
      </w:r>
      <w:r w:rsidR="00C82D24" w:rsidRPr="00AF4EE0">
        <w:t>realizacije kredita</w:t>
      </w:r>
      <w:r w:rsidR="00EB6414" w:rsidRPr="00AF4EE0">
        <w:t>,</w:t>
      </w:r>
      <w:r w:rsidRPr="00AF4EE0">
        <w:t xml:space="preserve"> kojim bi ispunili uvjete iz </w:t>
      </w:r>
      <w:r w:rsidRPr="007230EB">
        <w:t>Odluke</w:t>
      </w:r>
      <w:r w:rsidR="00C82D24" w:rsidRPr="007230EB">
        <w:t>, nisu do kraja ovog polugodišta uspjeli osigurati sredstva</w:t>
      </w:r>
      <w:r w:rsidR="00EB6414" w:rsidRPr="007230EB">
        <w:t xml:space="preserve"> potrebna za provedbu Odluke.</w:t>
      </w:r>
      <w:r w:rsidRPr="007230EB">
        <w:t xml:space="preserve"> </w:t>
      </w:r>
    </w:p>
    <w:p w:rsidR="00C82D24" w:rsidRPr="0040536B" w:rsidRDefault="00C82D24" w:rsidP="00CE473C">
      <w:pPr>
        <w:jc w:val="both"/>
      </w:pPr>
    </w:p>
    <w:p w:rsidR="0040536B" w:rsidRPr="0040536B" w:rsidRDefault="00AF4EE0" w:rsidP="00713EAF">
      <w:pPr>
        <w:jc w:val="both"/>
      </w:pPr>
      <w:r>
        <w:t>Sukladno</w:t>
      </w:r>
      <w:r w:rsidR="0040536B">
        <w:t xml:space="preserve"> točki VI. Odluke, </w:t>
      </w:r>
      <w:r>
        <w:t xml:space="preserve">Ministarstvo financija je </w:t>
      </w:r>
      <w:r w:rsidR="0040536B">
        <w:t xml:space="preserve">u prvom polugodištu 2021. godine provelo otpise za 16 korisnika kredita u ukupnom iznosu od </w:t>
      </w:r>
      <w:r w:rsidR="0040536B" w:rsidRPr="0040536B">
        <w:t>175.785.300,88</w:t>
      </w:r>
      <w:r w:rsidR="008F7D38">
        <w:t xml:space="preserve"> kuna</w:t>
      </w:r>
      <w:r w:rsidR="0040536B">
        <w:t xml:space="preserve">. </w:t>
      </w:r>
    </w:p>
    <w:p w:rsidR="00EB6414" w:rsidRDefault="00EB6414" w:rsidP="007D0B13">
      <w:pPr>
        <w:jc w:val="both"/>
      </w:pPr>
    </w:p>
    <w:p w:rsidR="0078427A" w:rsidRDefault="0078427A" w:rsidP="007D0B13">
      <w:pPr>
        <w:jc w:val="both"/>
        <w:rPr>
          <w:i/>
        </w:rPr>
      </w:pPr>
      <w:r w:rsidRPr="0040536B">
        <w:rPr>
          <w:i/>
        </w:rPr>
        <w:t>Tablica</w:t>
      </w:r>
      <w:r w:rsidR="00795651">
        <w:rPr>
          <w:i/>
        </w:rPr>
        <w:t xml:space="preserve"> 9</w:t>
      </w:r>
      <w:r w:rsidRPr="0040536B">
        <w:rPr>
          <w:i/>
        </w:rPr>
        <w:t>: Fond za razvoj i zapošljavanje – st</w:t>
      </w:r>
      <w:r w:rsidR="00713EAF" w:rsidRPr="0040536B">
        <w:rPr>
          <w:i/>
        </w:rPr>
        <w:t>anje pre</w:t>
      </w:r>
      <w:r w:rsidR="0040536B" w:rsidRPr="0040536B">
        <w:rPr>
          <w:i/>
        </w:rPr>
        <w:t>uzetih kredita na dan 30.06.2021</w:t>
      </w:r>
      <w:r w:rsidRPr="0040536B">
        <w:rPr>
          <w:i/>
        </w:rPr>
        <w:t>. u HRK</w:t>
      </w:r>
    </w:p>
    <w:p w:rsidR="00B250A2" w:rsidRPr="0040536B" w:rsidRDefault="00B250A2" w:rsidP="007D0B13">
      <w:pPr>
        <w:jc w:val="both"/>
        <w:rPr>
          <w:i/>
        </w:rPr>
      </w:pPr>
      <w:r w:rsidRPr="00B250A2">
        <w:rPr>
          <w:noProof/>
        </w:rPr>
        <w:drawing>
          <wp:inline distT="0" distB="0" distL="0" distR="0">
            <wp:extent cx="5760720" cy="2981609"/>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981609"/>
                    </a:xfrm>
                    <a:prstGeom prst="rect">
                      <a:avLst/>
                    </a:prstGeom>
                    <a:noFill/>
                    <a:ln>
                      <a:noFill/>
                    </a:ln>
                  </pic:spPr>
                </pic:pic>
              </a:graphicData>
            </a:graphic>
          </wp:inline>
        </w:drawing>
      </w:r>
    </w:p>
    <w:p w:rsidR="00E02DAF" w:rsidRPr="0040536B" w:rsidRDefault="00E02DAF" w:rsidP="007D0B13">
      <w:pPr>
        <w:jc w:val="both"/>
        <w:rPr>
          <w:i/>
        </w:rPr>
      </w:pPr>
    </w:p>
    <w:p w:rsidR="007230EB" w:rsidRPr="0040536B" w:rsidRDefault="007230EB" w:rsidP="007230EB">
      <w:pPr>
        <w:jc w:val="both"/>
      </w:pPr>
      <w:r w:rsidRPr="0040536B">
        <w:t xml:space="preserve">Na dan 30. lipnja 2021. godine u Glavnoj knjizi Državnog proračuna evidentirano ukupno stanje potraživanja temeljem kredita bivšeg Fonda za razvoj i zapošljavanje iznosi 861.932.764,16 kuna. Od navedenog iznosa na dospjelu glavnicu odnosi se iznos od 636.458.104,37 kuna, na nedospjelu glavnicu iznos od 15.449.541,70 kuna, odnosno stanje potraživanja na ime ukupne glavnice iznosi 651.907.646,07 kuna te na ime ukupno obračunatih kamata 210.025.118,09 kuna od čega redovna kamata iznosi 73.710.374,02 kuna, a zatezna kamata 136.314.744,07 kuna. Potraživanja na ime glavnice duga za 2 korisnika kredita u postupku </w:t>
      </w:r>
      <w:proofErr w:type="spellStart"/>
      <w:r w:rsidRPr="0040536B">
        <w:t>predstečajne</w:t>
      </w:r>
      <w:proofErr w:type="spellEnd"/>
      <w:r w:rsidRPr="0040536B">
        <w:t xml:space="preserve"> nagodbe iznose 11.968.454,94 kuna, za 22 korisnika kredita u stečajnom postupku iznose 163.738.421,04 kuna. Ministarstvo financija pokrenulo je ovršne postupke protiv korisnika kredita radi naplate glavnice u iznosu 18.055.247,91 kuna te postupke prisilne naplate protiv jamaca i založnih dužnika temeljem raspoloživih instrumenata osiguranja radi naplate tražbine na ime glavnice, za korisnike kredita koji su brisani iz sudskog i obrtnog registra u iznosu od 355.043.081,30 kuna.</w:t>
      </w:r>
    </w:p>
    <w:p w:rsidR="007230EB" w:rsidRDefault="007230EB" w:rsidP="007230EB">
      <w:pPr>
        <w:jc w:val="both"/>
      </w:pPr>
    </w:p>
    <w:p w:rsidR="00795651" w:rsidRPr="008F7D38" w:rsidRDefault="00795651" w:rsidP="007230EB">
      <w:pPr>
        <w:jc w:val="both"/>
      </w:pPr>
    </w:p>
    <w:p w:rsidR="001F6239" w:rsidRPr="00FF0305" w:rsidRDefault="001F6239" w:rsidP="001F6239">
      <w:pPr>
        <w:jc w:val="both"/>
        <w:rPr>
          <w:b/>
          <w:lang w:val="hr-BA"/>
        </w:rPr>
      </w:pPr>
      <w:r w:rsidRPr="00FF0305">
        <w:rPr>
          <w:b/>
          <w:lang w:val="hr-BA"/>
        </w:rPr>
        <w:lastRenderedPageBreak/>
        <w:t xml:space="preserve">POTRAŽIVANJA </w:t>
      </w:r>
      <w:r>
        <w:rPr>
          <w:b/>
          <w:lang w:val="hr-BA"/>
        </w:rPr>
        <w:t>ZA</w:t>
      </w:r>
      <w:r w:rsidRPr="00FF0305">
        <w:rPr>
          <w:b/>
          <w:lang w:val="hr-BA"/>
        </w:rPr>
        <w:t xml:space="preserve"> DAN</w:t>
      </w:r>
      <w:r>
        <w:rPr>
          <w:b/>
          <w:lang w:val="hr-BA"/>
        </w:rPr>
        <w:t>E</w:t>
      </w:r>
      <w:r w:rsidRPr="00FF0305">
        <w:rPr>
          <w:b/>
          <w:lang w:val="hr-BA"/>
        </w:rPr>
        <w:t xml:space="preserve"> ZAJMOV</w:t>
      </w:r>
      <w:r>
        <w:rPr>
          <w:b/>
          <w:lang w:val="hr-BA"/>
        </w:rPr>
        <w:t>E</w:t>
      </w:r>
      <w:r w:rsidRPr="00FF0305">
        <w:rPr>
          <w:b/>
          <w:lang w:val="hr-BA"/>
        </w:rPr>
        <w:t xml:space="preserve"> IZ SREDSTAVA ZAJMOVA MEĐUNARODNIH FINANCIJSKIH INSTITUCIJA</w:t>
      </w:r>
    </w:p>
    <w:p w:rsidR="00205337" w:rsidRDefault="00205337" w:rsidP="003B7F57">
      <w:pPr>
        <w:jc w:val="both"/>
      </w:pPr>
    </w:p>
    <w:p w:rsidR="001F6239" w:rsidRDefault="001F6239" w:rsidP="001F6239">
      <w:pPr>
        <w:jc w:val="both"/>
        <w:rPr>
          <w:lang w:val="hr-BA"/>
        </w:rPr>
      </w:pPr>
      <w:r>
        <w:rPr>
          <w:lang w:val="hr-BA"/>
        </w:rPr>
        <w:t xml:space="preserve">U razdoblju od 1998. godine do 30.06.2021. godine </w:t>
      </w:r>
      <w:r w:rsidRPr="002979B3">
        <w:rPr>
          <w:lang w:val="hr-BA"/>
        </w:rPr>
        <w:t>Brodarskom institutu</w:t>
      </w:r>
      <w:r>
        <w:rPr>
          <w:lang w:val="hr-BA"/>
        </w:rPr>
        <w:t xml:space="preserve"> i Nacionalnoj veletržnici</w:t>
      </w:r>
      <w:r w:rsidRPr="002979B3">
        <w:rPr>
          <w:lang w:val="hr-BA"/>
        </w:rPr>
        <w:t xml:space="preserve"> odobreni su zajmovi iz sredstava zajmova međunarodnih financijskih institucija (Međunarodna </w:t>
      </w:r>
      <w:r>
        <w:rPr>
          <w:lang w:val="hr-BA"/>
        </w:rPr>
        <w:t>banka za obnovu i razvoj – IBRD i</w:t>
      </w:r>
      <w:r w:rsidRPr="002979B3">
        <w:rPr>
          <w:lang w:val="hr-BA"/>
        </w:rPr>
        <w:t xml:space="preserve"> Europska banka za obnovu i razvoj </w:t>
      </w:r>
      <w:r>
        <w:rPr>
          <w:lang w:val="hr-BA"/>
        </w:rPr>
        <w:t>- EBRD</w:t>
      </w:r>
      <w:r w:rsidRPr="002979B3">
        <w:rPr>
          <w:lang w:val="hr-BA"/>
        </w:rPr>
        <w:t xml:space="preserve">). </w:t>
      </w:r>
    </w:p>
    <w:p w:rsidR="001F6239" w:rsidRPr="002979B3" w:rsidRDefault="001F6239" w:rsidP="001F6239">
      <w:pPr>
        <w:jc w:val="both"/>
        <w:rPr>
          <w:lang w:val="hr-BA"/>
        </w:rPr>
      </w:pPr>
    </w:p>
    <w:p w:rsidR="001F6239" w:rsidRDefault="001F6239" w:rsidP="001F6239">
      <w:pPr>
        <w:jc w:val="both"/>
        <w:rPr>
          <w:lang w:val="hr-BA"/>
        </w:rPr>
      </w:pPr>
      <w:r>
        <w:rPr>
          <w:lang w:val="hr-BA"/>
        </w:rPr>
        <w:t>Ukupna potraživanja Republike Hrvatske</w:t>
      </w:r>
      <w:r w:rsidRPr="002979B3">
        <w:rPr>
          <w:lang w:val="hr-BA"/>
        </w:rPr>
        <w:t xml:space="preserve"> po tim</w:t>
      </w:r>
      <w:r>
        <w:rPr>
          <w:lang w:val="hr-BA"/>
        </w:rPr>
        <w:t xml:space="preserve"> zajm</w:t>
      </w:r>
      <w:r w:rsidRPr="002979B3">
        <w:rPr>
          <w:lang w:val="hr-BA"/>
        </w:rPr>
        <w:t>ov</w:t>
      </w:r>
      <w:r>
        <w:rPr>
          <w:lang w:val="hr-BA"/>
        </w:rPr>
        <w:t>ima na 30.06.2021</w:t>
      </w:r>
      <w:r w:rsidRPr="002979B3">
        <w:rPr>
          <w:lang w:val="hr-BA"/>
        </w:rPr>
        <w:t xml:space="preserve">. </w:t>
      </w:r>
      <w:r>
        <w:rPr>
          <w:lang w:val="hr-BA"/>
        </w:rPr>
        <w:t xml:space="preserve">godine </w:t>
      </w:r>
      <w:r w:rsidRPr="002979B3">
        <w:rPr>
          <w:lang w:val="hr-BA"/>
        </w:rPr>
        <w:t xml:space="preserve">iznose </w:t>
      </w:r>
      <w:r>
        <w:rPr>
          <w:lang w:val="hr-BA"/>
        </w:rPr>
        <w:t>42.339.315,73</w:t>
      </w:r>
      <w:r w:rsidRPr="002979B3">
        <w:rPr>
          <w:lang w:val="hr-BA"/>
        </w:rPr>
        <w:t xml:space="preserve"> HRK od čega:</w:t>
      </w:r>
    </w:p>
    <w:p w:rsidR="001F6239" w:rsidRPr="002979B3" w:rsidRDefault="001F6239" w:rsidP="001F6239">
      <w:pPr>
        <w:jc w:val="both"/>
        <w:rPr>
          <w:b/>
        </w:rPr>
      </w:pPr>
    </w:p>
    <w:p w:rsidR="001F6239" w:rsidRDefault="001F6239" w:rsidP="001F6239">
      <w:pPr>
        <w:numPr>
          <w:ilvl w:val="0"/>
          <w:numId w:val="22"/>
        </w:numPr>
        <w:ind w:left="426" w:hanging="426"/>
        <w:jc w:val="both"/>
        <w:rPr>
          <w:lang w:val="hr-BA"/>
        </w:rPr>
      </w:pPr>
      <w:r w:rsidRPr="002979B3">
        <w:rPr>
          <w:lang w:val="hr-BA"/>
        </w:rPr>
        <w:t>potraživanja prema Brodarskom institutu iznose 7.</w:t>
      </w:r>
      <w:r>
        <w:rPr>
          <w:lang w:val="hr-BA"/>
        </w:rPr>
        <w:t>729.762,43</w:t>
      </w:r>
      <w:r w:rsidRPr="002979B3">
        <w:rPr>
          <w:lang w:val="hr-BA"/>
        </w:rPr>
        <w:t xml:space="preserve"> </w:t>
      </w:r>
      <w:r>
        <w:rPr>
          <w:lang w:val="hr-BA"/>
        </w:rPr>
        <w:t xml:space="preserve">HRK </w:t>
      </w:r>
      <w:r w:rsidRPr="002979B3">
        <w:rPr>
          <w:lang w:val="hr-BA"/>
        </w:rPr>
        <w:t>vezano uz Hrvatski projekt tehnologijskog razvoja</w:t>
      </w:r>
      <w:r>
        <w:rPr>
          <w:lang w:val="hr-BA"/>
        </w:rPr>
        <w:t>,</w:t>
      </w:r>
    </w:p>
    <w:p w:rsidR="001F6239" w:rsidRDefault="001F6239" w:rsidP="001F6239">
      <w:pPr>
        <w:ind w:left="426"/>
        <w:jc w:val="both"/>
        <w:rPr>
          <w:lang w:val="hr-BA"/>
        </w:rPr>
      </w:pPr>
    </w:p>
    <w:p w:rsidR="001F6239" w:rsidRDefault="001F6239" w:rsidP="001F6239">
      <w:pPr>
        <w:numPr>
          <w:ilvl w:val="0"/>
          <w:numId w:val="22"/>
        </w:numPr>
        <w:ind w:left="426" w:hanging="426"/>
        <w:jc w:val="both"/>
        <w:rPr>
          <w:lang w:val="hr-BA"/>
        </w:rPr>
      </w:pPr>
      <w:r w:rsidRPr="002979B3">
        <w:rPr>
          <w:lang w:val="hr-BA"/>
        </w:rPr>
        <w:t xml:space="preserve">potraživanja prema </w:t>
      </w:r>
      <w:r>
        <w:rPr>
          <w:lang w:val="hr-BA"/>
        </w:rPr>
        <w:t>Nacionalnoj veletržnici iznose 34</w:t>
      </w:r>
      <w:r w:rsidRPr="002979B3">
        <w:rPr>
          <w:lang w:val="hr-BA"/>
        </w:rPr>
        <w:t>.</w:t>
      </w:r>
      <w:r>
        <w:rPr>
          <w:lang w:val="hr-BA"/>
        </w:rPr>
        <w:t>609.553,30 (potraživanja za glavnicu: 23.998.625,43 HRK; potraživanja za kamatu: 10.610.927,87 HRK)</w:t>
      </w:r>
      <w:r w:rsidRPr="002979B3">
        <w:rPr>
          <w:lang w:val="hr-BA"/>
        </w:rPr>
        <w:t xml:space="preserve"> vezano uz </w:t>
      </w:r>
      <w:r w:rsidRPr="008012B0">
        <w:rPr>
          <w:lang w:val="hr-BA"/>
        </w:rPr>
        <w:t>Projekt veletržnica</w:t>
      </w:r>
      <w:r>
        <w:rPr>
          <w:lang w:val="hr-BA"/>
        </w:rPr>
        <w:t>.</w:t>
      </w:r>
    </w:p>
    <w:p w:rsidR="001F6239" w:rsidRDefault="001F6239" w:rsidP="003B7F57">
      <w:pPr>
        <w:jc w:val="both"/>
      </w:pPr>
    </w:p>
    <w:p w:rsidR="00941D80" w:rsidRDefault="00795651" w:rsidP="003B7F57">
      <w:pPr>
        <w:jc w:val="both"/>
        <w:rPr>
          <w:i/>
        </w:rPr>
      </w:pPr>
      <w:r>
        <w:rPr>
          <w:i/>
        </w:rPr>
        <w:t>Tablica 10</w:t>
      </w:r>
      <w:r w:rsidR="00941D80" w:rsidRPr="00941D80">
        <w:rPr>
          <w:i/>
        </w:rPr>
        <w:t>. Potraživanja za dane zajmove trgovačkim društvima u javnom sektoru</w:t>
      </w:r>
    </w:p>
    <w:p w:rsidR="00941D80" w:rsidRDefault="00941D80" w:rsidP="003B7F57">
      <w:pPr>
        <w:jc w:val="both"/>
        <w:rPr>
          <w:i/>
        </w:rPr>
      </w:pPr>
      <w:r w:rsidRPr="00941D80">
        <w:rPr>
          <w:noProof/>
        </w:rPr>
        <w:drawing>
          <wp:inline distT="0" distB="0" distL="0" distR="0">
            <wp:extent cx="5760720" cy="1673686"/>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673686"/>
                    </a:xfrm>
                    <a:prstGeom prst="rect">
                      <a:avLst/>
                    </a:prstGeom>
                    <a:noFill/>
                    <a:ln>
                      <a:noFill/>
                    </a:ln>
                  </pic:spPr>
                </pic:pic>
              </a:graphicData>
            </a:graphic>
          </wp:inline>
        </w:drawing>
      </w:r>
    </w:p>
    <w:p w:rsidR="004E33FD" w:rsidRDefault="004E33FD" w:rsidP="003B7F57">
      <w:pPr>
        <w:jc w:val="both"/>
        <w:rPr>
          <w:i/>
        </w:rPr>
      </w:pPr>
    </w:p>
    <w:p w:rsidR="00795651" w:rsidRDefault="00795651" w:rsidP="004E33FD">
      <w:pPr>
        <w:jc w:val="both"/>
        <w:rPr>
          <w:b/>
          <w:lang w:val="hr-BA"/>
        </w:rPr>
      </w:pPr>
    </w:p>
    <w:p w:rsidR="004E33FD" w:rsidRDefault="004E33FD" w:rsidP="004E33FD">
      <w:pPr>
        <w:jc w:val="both"/>
        <w:rPr>
          <w:b/>
          <w:lang w:val="hr-BA"/>
        </w:rPr>
      </w:pPr>
      <w:r w:rsidRPr="00FF0305">
        <w:rPr>
          <w:b/>
          <w:lang w:val="hr-BA"/>
        </w:rPr>
        <w:t xml:space="preserve">POTRAŽIVANJA </w:t>
      </w:r>
      <w:r>
        <w:rPr>
          <w:b/>
          <w:lang w:val="hr-BA"/>
        </w:rPr>
        <w:t>ZA</w:t>
      </w:r>
      <w:r w:rsidRPr="00FF0305">
        <w:rPr>
          <w:b/>
          <w:lang w:val="hr-BA"/>
        </w:rPr>
        <w:t xml:space="preserve"> DAN</w:t>
      </w:r>
      <w:r>
        <w:rPr>
          <w:b/>
          <w:lang w:val="hr-BA"/>
        </w:rPr>
        <w:t>E</w:t>
      </w:r>
      <w:r w:rsidRPr="00FF0305">
        <w:rPr>
          <w:b/>
          <w:lang w:val="hr-BA"/>
        </w:rPr>
        <w:t xml:space="preserve"> ZAJMOV</w:t>
      </w:r>
      <w:r>
        <w:rPr>
          <w:b/>
          <w:lang w:val="hr-BA"/>
        </w:rPr>
        <w:t>E</w:t>
      </w:r>
      <w:r w:rsidRPr="00FF0305">
        <w:rPr>
          <w:b/>
          <w:lang w:val="hr-BA"/>
        </w:rPr>
        <w:t xml:space="preserve"> IZ SREDSTAVA </w:t>
      </w:r>
      <w:r>
        <w:rPr>
          <w:b/>
          <w:lang w:val="hr-BA"/>
        </w:rPr>
        <w:t>EUROPSKE INVESTICIJSKE BANKE</w:t>
      </w:r>
    </w:p>
    <w:p w:rsidR="00AB26C3" w:rsidRDefault="00AB26C3" w:rsidP="004E33FD">
      <w:pPr>
        <w:jc w:val="both"/>
        <w:rPr>
          <w:b/>
          <w:lang w:val="hr-BA"/>
        </w:rPr>
      </w:pPr>
    </w:p>
    <w:p w:rsidR="004E33FD" w:rsidRDefault="004E33FD" w:rsidP="004E33FD">
      <w:pPr>
        <w:jc w:val="both"/>
        <w:rPr>
          <w:b/>
          <w:lang w:val="hr-BA"/>
        </w:rPr>
      </w:pPr>
    </w:p>
    <w:p w:rsidR="004E33FD" w:rsidRDefault="004E33FD" w:rsidP="004E33FD">
      <w:pPr>
        <w:jc w:val="both"/>
      </w:pPr>
      <w:r w:rsidRPr="00D72E19">
        <w:t>Republika Hrvatska je zaključila s Europskom investicijskom bankom (EIB) ugovor o financiranju IPA/ISPA 2007-2011 projekata u iznosu 200.000.000,00 eura kroz koji se osiguravaju sredstva za nacionalno sufinanciranje IPA i ISPA projekata s nacionalne, regionalne i lokalne razine</w:t>
      </w:r>
      <w:r>
        <w:t xml:space="preserve"> </w:t>
      </w:r>
      <w:r w:rsidRPr="00D72E19">
        <w:t>.</w:t>
      </w:r>
    </w:p>
    <w:p w:rsidR="00795651" w:rsidRPr="00D72E19" w:rsidRDefault="00795651" w:rsidP="004E33FD">
      <w:pPr>
        <w:jc w:val="both"/>
      </w:pPr>
    </w:p>
    <w:p w:rsidR="004E33FD" w:rsidRDefault="004E33FD" w:rsidP="004E33FD">
      <w:pPr>
        <w:jc w:val="both"/>
      </w:pPr>
      <w:r>
        <w:t xml:space="preserve">Ministarstvo financija u razdoblju od 2012. do 2015 odobrilo je zajmove jedinicama lokalne i područne (regionalne) samouprave zajmove , te trgovačkom društvu u javnom sektoru za financiranje njihovog udjela u sufinanciranju izgradnje regionalnih centara za gospodarenje otpadom </w:t>
      </w:r>
      <w:proofErr w:type="spellStart"/>
      <w:r>
        <w:t>Kaštijun</w:t>
      </w:r>
      <w:proofErr w:type="spellEnd"/>
      <w:r>
        <w:t xml:space="preserve">, </w:t>
      </w:r>
      <w:proofErr w:type="spellStart"/>
      <w:r>
        <w:t>Marišćina</w:t>
      </w:r>
      <w:proofErr w:type="spellEnd"/>
      <w:r>
        <w:t xml:space="preserve">, </w:t>
      </w:r>
      <w:proofErr w:type="spellStart"/>
      <w:r>
        <w:t>Bikarac</w:t>
      </w:r>
      <w:proofErr w:type="spellEnd"/>
      <w:r>
        <w:t xml:space="preserve"> faza 1 i faza 2. zajmovi su odobreni uz kamatnu stopu od 1,328-3,987%, ovisno o datumu sklapanja ugovora, uz poček od 5 godina i otplatu 20 godina. Sredstva zajma korisnici povlače u skladu s dinamikom provedbe projekata. Tijekom 2020. povučena su sredstva za financiranje projekata </w:t>
      </w:r>
      <w:proofErr w:type="spellStart"/>
      <w:r>
        <w:t>Marišćina</w:t>
      </w:r>
      <w:proofErr w:type="spellEnd"/>
      <w:r>
        <w:t xml:space="preserve"> (Istarska županija) i </w:t>
      </w:r>
      <w:proofErr w:type="spellStart"/>
      <w:r>
        <w:t>Bikarac</w:t>
      </w:r>
      <w:proofErr w:type="spellEnd"/>
      <w:r>
        <w:t xml:space="preserve"> II (Grad Šibenik). </w:t>
      </w:r>
    </w:p>
    <w:p w:rsidR="004E33FD" w:rsidRDefault="004E33FD" w:rsidP="004E33FD">
      <w:pPr>
        <w:jc w:val="both"/>
      </w:pPr>
    </w:p>
    <w:p w:rsidR="00795651" w:rsidRDefault="00795651" w:rsidP="004E33FD">
      <w:pPr>
        <w:jc w:val="both"/>
      </w:pPr>
    </w:p>
    <w:p w:rsidR="00795651" w:rsidRDefault="00795651" w:rsidP="004E33FD">
      <w:pPr>
        <w:jc w:val="both"/>
      </w:pPr>
    </w:p>
    <w:p w:rsidR="00795651" w:rsidRDefault="00795651" w:rsidP="004E33FD">
      <w:pPr>
        <w:jc w:val="both"/>
      </w:pPr>
    </w:p>
    <w:p w:rsidR="00795651" w:rsidRDefault="00795651" w:rsidP="004E33FD">
      <w:pPr>
        <w:jc w:val="both"/>
      </w:pPr>
    </w:p>
    <w:p w:rsidR="004E33FD" w:rsidRPr="00EF330F" w:rsidRDefault="004E33FD" w:rsidP="00AB26C3">
      <w:pPr>
        <w:jc w:val="both"/>
        <w:rPr>
          <w:rFonts w:eastAsiaTheme="minorHAnsi"/>
          <w:lang w:eastAsia="en-US"/>
        </w:rPr>
      </w:pPr>
      <w:r w:rsidRPr="00E860D1">
        <w:rPr>
          <w:i/>
        </w:rPr>
        <w:t xml:space="preserve">Tablica </w:t>
      </w:r>
      <w:r w:rsidR="00795651">
        <w:rPr>
          <w:i/>
        </w:rPr>
        <w:t>11</w:t>
      </w:r>
      <w:r w:rsidRPr="00E860D1">
        <w:rPr>
          <w:i/>
        </w:rPr>
        <w:t>.</w:t>
      </w:r>
      <w:r>
        <w:rPr>
          <w:i/>
        </w:rPr>
        <w:t xml:space="preserve"> Potraživanja za dane z</w:t>
      </w:r>
      <w:r w:rsidRPr="00FF0305">
        <w:rPr>
          <w:i/>
        </w:rPr>
        <w:t>ajmov</w:t>
      </w:r>
      <w:r>
        <w:rPr>
          <w:i/>
        </w:rPr>
        <w:t>e</w:t>
      </w:r>
      <w:r w:rsidRPr="00FF0305">
        <w:rPr>
          <w:i/>
        </w:rPr>
        <w:t xml:space="preserve"> </w:t>
      </w:r>
      <w:r w:rsidRPr="00DB6283">
        <w:rPr>
          <w:i/>
        </w:rPr>
        <w:t>za</w:t>
      </w:r>
      <w:r>
        <w:rPr>
          <w:i/>
        </w:rPr>
        <w:t xml:space="preserve"> su</w:t>
      </w:r>
      <w:r w:rsidRPr="00DB6283">
        <w:rPr>
          <w:i/>
        </w:rPr>
        <w:t>financiranje</w:t>
      </w:r>
      <w:r>
        <w:t xml:space="preserve"> </w:t>
      </w:r>
      <w:r w:rsidRPr="00DB6283">
        <w:rPr>
          <w:i/>
        </w:rPr>
        <w:t>IPA i ISPA projekata</w:t>
      </w:r>
      <w:r w:rsidRPr="00EF330F">
        <w:rPr>
          <w:rFonts w:eastAsiaTheme="minorHAnsi"/>
          <w:i/>
          <w:sz w:val="20"/>
          <w:szCs w:val="20"/>
          <w:lang w:eastAsia="en-US"/>
        </w:rPr>
        <w:t xml:space="preserve"> </w:t>
      </w:r>
      <w:r>
        <w:rPr>
          <w:rFonts w:eastAsiaTheme="minorHAnsi"/>
          <w:i/>
          <w:sz w:val="20"/>
          <w:szCs w:val="20"/>
          <w:lang w:eastAsia="en-US"/>
        </w:rPr>
        <w:t>(u HRK)</w:t>
      </w:r>
    </w:p>
    <w:tbl>
      <w:tblPr>
        <w:tblW w:w="9062" w:type="dxa"/>
        <w:tblLook w:val="04A0" w:firstRow="1" w:lastRow="0" w:firstColumn="1" w:lastColumn="0" w:noHBand="0" w:noVBand="1"/>
      </w:tblPr>
      <w:tblGrid>
        <w:gridCol w:w="1399"/>
        <w:gridCol w:w="5104"/>
        <w:gridCol w:w="2559"/>
      </w:tblGrid>
      <w:tr w:rsidR="004E33FD" w:rsidRPr="003C1B65" w:rsidTr="004E33FD">
        <w:trPr>
          <w:trHeight w:val="408"/>
        </w:trPr>
        <w:tc>
          <w:tcPr>
            <w:tcW w:w="9062" w:type="dxa"/>
            <w:gridSpan w:val="3"/>
            <w:tcBorders>
              <w:top w:val="single" w:sz="8" w:space="0" w:color="auto"/>
              <w:left w:val="single" w:sz="8" w:space="0" w:color="auto"/>
              <w:bottom w:val="single" w:sz="8" w:space="0" w:color="auto"/>
              <w:right w:val="single" w:sz="8" w:space="0" w:color="000000"/>
            </w:tcBorders>
            <w:shd w:val="clear" w:color="auto" w:fill="C6D9F1" w:themeFill="text2" w:themeFillTint="33"/>
            <w:vAlign w:val="bottom"/>
            <w:hideMark/>
          </w:tcPr>
          <w:p w:rsidR="004E33FD" w:rsidRPr="003C1B65" w:rsidRDefault="004E33FD" w:rsidP="009A4F42">
            <w:pPr>
              <w:jc w:val="center"/>
              <w:rPr>
                <w:b/>
                <w:bCs/>
              </w:rPr>
            </w:pPr>
            <w:r w:rsidRPr="003C1B65">
              <w:rPr>
                <w:b/>
                <w:bCs/>
              </w:rPr>
              <w:t>ZAJMOVI DRUGIM RAZINAMA VLASTI</w:t>
            </w:r>
          </w:p>
        </w:tc>
      </w:tr>
      <w:tr w:rsidR="004E33FD" w:rsidRPr="003C1B65" w:rsidTr="004E33FD">
        <w:trPr>
          <w:trHeight w:val="690"/>
        </w:trPr>
        <w:tc>
          <w:tcPr>
            <w:tcW w:w="139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E33FD" w:rsidRPr="003C1B65" w:rsidRDefault="004E33FD" w:rsidP="009A4F42">
            <w:pPr>
              <w:jc w:val="center"/>
              <w:rPr>
                <w:i/>
                <w:iCs/>
              </w:rPr>
            </w:pPr>
            <w:r w:rsidRPr="003C1B65">
              <w:rPr>
                <w:i/>
                <w:iCs/>
              </w:rPr>
              <w:t>137220100</w:t>
            </w:r>
          </w:p>
        </w:tc>
        <w:tc>
          <w:tcPr>
            <w:tcW w:w="7663" w:type="dxa"/>
            <w:gridSpan w:val="2"/>
            <w:tcBorders>
              <w:top w:val="single" w:sz="8" w:space="0" w:color="auto"/>
              <w:left w:val="nil"/>
              <w:bottom w:val="single" w:sz="8" w:space="0" w:color="auto"/>
              <w:right w:val="single" w:sz="8" w:space="0" w:color="000000"/>
            </w:tcBorders>
            <w:shd w:val="clear" w:color="auto" w:fill="auto"/>
            <w:vAlign w:val="bottom"/>
            <w:hideMark/>
          </w:tcPr>
          <w:p w:rsidR="004E33FD" w:rsidRPr="003C1B65" w:rsidRDefault="004E33FD" w:rsidP="009A4F42">
            <w:pPr>
              <w:rPr>
                <w:i/>
                <w:iCs/>
              </w:rPr>
            </w:pPr>
            <w:r w:rsidRPr="003C1B65">
              <w:rPr>
                <w:i/>
                <w:iCs/>
              </w:rPr>
              <w:t>Zajmovi županijskim proračunima - dugoročni</w:t>
            </w:r>
          </w:p>
        </w:tc>
      </w:tr>
      <w:tr w:rsidR="004E33FD" w:rsidRPr="003C1B65" w:rsidTr="004E33FD">
        <w:trPr>
          <w:trHeight w:val="390"/>
        </w:trPr>
        <w:tc>
          <w:tcPr>
            <w:tcW w:w="139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E33FD" w:rsidRPr="003C1B65" w:rsidRDefault="004E33FD" w:rsidP="009A4F42">
            <w:pPr>
              <w:jc w:val="center"/>
              <w:rPr>
                <w:color w:val="000000"/>
              </w:rPr>
            </w:pPr>
            <w:r w:rsidRPr="003C1B65">
              <w:rPr>
                <w:color w:val="000000"/>
              </w:rPr>
              <w:t>1.</w:t>
            </w:r>
          </w:p>
        </w:tc>
        <w:tc>
          <w:tcPr>
            <w:tcW w:w="5104" w:type="dxa"/>
            <w:tcBorders>
              <w:top w:val="single" w:sz="4" w:space="0" w:color="auto"/>
              <w:left w:val="nil"/>
              <w:bottom w:val="single" w:sz="4" w:space="0" w:color="auto"/>
              <w:right w:val="single" w:sz="4" w:space="0" w:color="auto"/>
            </w:tcBorders>
            <w:shd w:val="clear" w:color="auto" w:fill="auto"/>
            <w:noWrap/>
            <w:vAlign w:val="bottom"/>
            <w:hideMark/>
          </w:tcPr>
          <w:p w:rsidR="004E33FD" w:rsidRPr="003C1B65" w:rsidRDefault="004E33FD" w:rsidP="009A4F42">
            <w:pPr>
              <w:rPr>
                <w:color w:val="000000"/>
              </w:rPr>
            </w:pPr>
            <w:r w:rsidRPr="003C1B65">
              <w:rPr>
                <w:color w:val="000000"/>
              </w:rPr>
              <w:t>PRIMORSKO-GORANSKA ŽUPANIJA</w:t>
            </w:r>
          </w:p>
        </w:tc>
        <w:tc>
          <w:tcPr>
            <w:tcW w:w="2559" w:type="dxa"/>
            <w:tcBorders>
              <w:top w:val="single" w:sz="4" w:space="0" w:color="auto"/>
              <w:left w:val="nil"/>
              <w:bottom w:val="single" w:sz="4" w:space="0" w:color="auto"/>
              <w:right w:val="single" w:sz="8" w:space="0" w:color="auto"/>
            </w:tcBorders>
            <w:shd w:val="clear" w:color="auto" w:fill="auto"/>
            <w:noWrap/>
            <w:vAlign w:val="bottom"/>
            <w:hideMark/>
          </w:tcPr>
          <w:p w:rsidR="004E33FD" w:rsidRPr="003C1B65" w:rsidRDefault="004E33FD" w:rsidP="009A4F42">
            <w:pPr>
              <w:jc w:val="right"/>
              <w:rPr>
                <w:color w:val="000000"/>
              </w:rPr>
            </w:pPr>
            <w:r>
              <w:rPr>
                <w:color w:val="000000"/>
              </w:rPr>
              <w:t>11.921.259,06</w:t>
            </w:r>
          </w:p>
        </w:tc>
      </w:tr>
      <w:tr w:rsidR="004E33FD" w:rsidRPr="003C1B65" w:rsidTr="004E33FD">
        <w:trPr>
          <w:trHeight w:val="390"/>
        </w:trPr>
        <w:tc>
          <w:tcPr>
            <w:tcW w:w="1399" w:type="dxa"/>
            <w:tcBorders>
              <w:top w:val="nil"/>
              <w:left w:val="single" w:sz="8" w:space="0" w:color="auto"/>
              <w:bottom w:val="single" w:sz="8" w:space="0" w:color="auto"/>
              <w:right w:val="single" w:sz="4" w:space="0" w:color="auto"/>
            </w:tcBorders>
            <w:shd w:val="clear" w:color="auto" w:fill="auto"/>
            <w:noWrap/>
            <w:vAlign w:val="bottom"/>
            <w:hideMark/>
          </w:tcPr>
          <w:p w:rsidR="004E33FD" w:rsidRPr="003C1B65" w:rsidRDefault="004E33FD" w:rsidP="009A4F42">
            <w:pPr>
              <w:jc w:val="center"/>
              <w:rPr>
                <w:color w:val="000000"/>
              </w:rPr>
            </w:pPr>
            <w:r w:rsidRPr="003C1B65">
              <w:rPr>
                <w:color w:val="000000"/>
              </w:rPr>
              <w:t>2.</w:t>
            </w:r>
          </w:p>
        </w:tc>
        <w:tc>
          <w:tcPr>
            <w:tcW w:w="5104" w:type="dxa"/>
            <w:tcBorders>
              <w:top w:val="nil"/>
              <w:left w:val="nil"/>
              <w:bottom w:val="single" w:sz="8" w:space="0" w:color="auto"/>
              <w:right w:val="single" w:sz="4" w:space="0" w:color="auto"/>
            </w:tcBorders>
            <w:shd w:val="clear" w:color="auto" w:fill="auto"/>
            <w:noWrap/>
            <w:vAlign w:val="bottom"/>
            <w:hideMark/>
          </w:tcPr>
          <w:p w:rsidR="004E33FD" w:rsidRPr="003C1B65" w:rsidRDefault="004E33FD" w:rsidP="009A4F42">
            <w:pPr>
              <w:rPr>
                <w:color w:val="000000"/>
              </w:rPr>
            </w:pPr>
            <w:r w:rsidRPr="003C1B65">
              <w:rPr>
                <w:color w:val="000000"/>
              </w:rPr>
              <w:t>ISTARSKA ŽUPANIJA</w:t>
            </w:r>
          </w:p>
        </w:tc>
        <w:tc>
          <w:tcPr>
            <w:tcW w:w="2559" w:type="dxa"/>
            <w:tcBorders>
              <w:top w:val="nil"/>
              <w:left w:val="nil"/>
              <w:bottom w:val="single" w:sz="8" w:space="0" w:color="auto"/>
              <w:right w:val="single" w:sz="8" w:space="0" w:color="auto"/>
            </w:tcBorders>
            <w:shd w:val="clear" w:color="auto" w:fill="auto"/>
            <w:noWrap/>
            <w:vAlign w:val="bottom"/>
            <w:hideMark/>
          </w:tcPr>
          <w:p w:rsidR="004E33FD" w:rsidRPr="003C1B65" w:rsidRDefault="004E33FD" w:rsidP="009A4F42">
            <w:pPr>
              <w:jc w:val="right"/>
              <w:rPr>
                <w:color w:val="000000"/>
              </w:rPr>
            </w:pPr>
            <w:r>
              <w:rPr>
                <w:color w:val="000000"/>
              </w:rPr>
              <w:t>61.301.893,78</w:t>
            </w:r>
          </w:p>
        </w:tc>
      </w:tr>
      <w:tr w:rsidR="004E33FD" w:rsidRPr="003C1B65" w:rsidTr="004E33FD">
        <w:trPr>
          <w:trHeight w:val="405"/>
        </w:trPr>
        <w:tc>
          <w:tcPr>
            <w:tcW w:w="65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33FD" w:rsidRPr="003C1B65" w:rsidRDefault="004E33FD" w:rsidP="009A4F42">
            <w:pPr>
              <w:jc w:val="center"/>
              <w:rPr>
                <w:b/>
                <w:bCs/>
                <w:color w:val="000000"/>
              </w:rPr>
            </w:pPr>
            <w:r w:rsidRPr="003C1B65">
              <w:rPr>
                <w:b/>
                <w:bCs/>
                <w:color w:val="000000"/>
              </w:rPr>
              <w:t xml:space="preserve">UKUPNO </w:t>
            </w:r>
          </w:p>
        </w:tc>
        <w:tc>
          <w:tcPr>
            <w:tcW w:w="2559" w:type="dxa"/>
            <w:tcBorders>
              <w:top w:val="nil"/>
              <w:left w:val="nil"/>
              <w:bottom w:val="single" w:sz="8" w:space="0" w:color="auto"/>
              <w:right w:val="single" w:sz="8" w:space="0" w:color="auto"/>
            </w:tcBorders>
            <w:shd w:val="clear" w:color="auto" w:fill="auto"/>
            <w:noWrap/>
            <w:vAlign w:val="bottom"/>
            <w:hideMark/>
          </w:tcPr>
          <w:p w:rsidR="004E33FD" w:rsidRPr="003C1B65" w:rsidRDefault="004E33FD" w:rsidP="009A4F42">
            <w:pPr>
              <w:jc w:val="right"/>
              <w:rPr>
                <w:b/>
                <w:bCs/>
                <w:color w:val="000000"/>
              </w:rPr>
            </w:pPr>
            <w:r>
              <w:rPr>
                <w:b/>
                <w:bCs/>
                <w:color w:val="000000"/>
              </w:rPr>
              <w:t>73.223.152,84</w:t>
            </w:r>
          </w:p>
        </w:tc>
      </w:tr>
      <w:tr w:rsidR="004E33FD" w:rsidRPr="003C1B65" w:rsidTr="004E33FD">
        <w:trPr>
          <w:trHeight w:val="405"/>
        </w:trPr>
        <w:tc>
          <w:tcPr>
            <w:tcW w:w="139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E33FD" w:rsidRPr="003C1B65" w:rsidRDefault="004E33FD" w:rsidP="009A4F42">
            <w:pPr>
              <w:jc w:val="center"/>
              <w:rPr>
                <w:i/>
                <w:iCs/>
              </w:rPr>
            </w:pPr>
            <w:r w:rsidRPr="003C1B65">
              <w:rPr>
                <w:i/>
                <w:iCs/>
              </w:rPr>
              <w:t>137320100</w:t>
            </w:r>
          </w:p>
        </w:tc>
        <w:tc>
          <w:tcPr>
            <w:tcW w:w="7663" w:type="dxa"/>
            <w:gridSpan w:val="2"/>
            <w:tcBorders>
              <w:top w:val="single" w:sz="8" w:space="0" w:color="auto"/>
              <w:left w:val="nil"/>
              <w:bottom w:val="single" w:sz="8" w:space="0" w:color="auto"/>
              <w:right w:val="single" w:sz="8" w:space="0" w:color="000000"/>
            </w:tcBorders>
            <w:shd w:val="clear" w:color="auto" w:fill="auto"/>
            <w:vAlign w:val="bottom"/>
            <w:hideMark/>
          </w:tcPr>
          <w:p w:rsidR="004E33FD" w:rsidRPr="003C1B65" w:rsidRDefault="004E33FD" w:rsidP="009A4F42">
            <w:pPr>
              <w:rPr>
                <w:i/>
                <w:iCs/>
              </w:rPr>
            </w:pPr>
            <w:r w:rsidRPr="003C1B65">
              <w:rPr>
                <w:i/>
                <w:iCs/>
              </w:rPr>
              <w:t>Zajmovi gradskim proračunima - dugoročni</w:t>
            </w:r>
          </w:p>
        </w:tc>
      </w:tr>
      <w:tr w:rsidR="004E33FD" w:rsidRPr="003C1B65" w:rsidTr="004E33FD">
        <w:trPr>
          <w:trHeight w:val="405"/>
        </w:trPr>
        <w:tc>
          <w:tcPr>
            <w:tcW w:w="1399" w:type="dxa"/>
            <w:tcBorders>
              <w:top w:val="nil"/>
              <w:left w:val="single" w:sz="8" w:space="0" w:color="auto"/>
              <w:bottom w:val="single" w:sz="4" w:space="0" w:color="auto"/>
              <w:right w:val="single" w:sz="4" w:space="0" w:color="auto"/>
            </w:tcBorders>
            <w:shd w:val="clear" w:color="auto" w:fill="auto"/>
            <w:noWrap/>
            <w:vAlign w:val="bottom"/>
            <w:hideMark/>
          </w:tcPr>
          <w:p w:rsidR="004E33FD" w:rsidRPr="003C1B65" w:rsidRDefault="004E33FD" w:rsidP="009A4F42">
            <w:pPr>
              <w:jc w:val="center"/>
              <w:rPr>
                <w:color w:val="000000"/>
              </w:rPr>
            </w:pPr>
            <w:r w:rsidRPr="003C1B65">
              <w:rPr>
                <w:color w:val="000000"/>
              </w:rPr>
              <w:t>1.</w:t>
            </w:r>
          </w:p>
        </w:tc>
        <w:tc>
          <w:tcPr>
            <w:tcW w:w="5104" w:type="dxa"/>
            <w:tcBorders>
              <w:top w:val="single" w:sz="4" w:space="0" w:color="auto"/>
              <w:left w:val="nil"/>
              <w:bottom w:val="single" w:sz="4" w:space="0" w:color="auto"/>
              <w:right w:val="single" w:sz="4" w:space="0" w:color="auto"/>
            </w:tcBorders>
            <w:shd w:val="clear" w:color="auto" w:fill="auto"/>
            <w:noWrap/>
            <w:vAlign w:val="bottom"/>
            <w:hideMark/>
          </w:tcPr>
          <w:p w:rsidR="004E33FD" w:rsidRPr="003C1B65" w:rsidRDefault="004E33FD" w:rsidP="009A4F42">
            <w:pPr>
              <w:rPr>
                <w:color w:val="000000"/>
              </w:rPr>
            </w:pPr>
            <w:r w:rsidRPr="003C1B65">
              <w:rPr>
                <w:color w:val="000000"/>
              </w:rPr>
              <w:t>GRAD RIJEKA</w:t>
            </w:r>
          </w:p>
        </w:tc>
        <w:tc>
          <w:tcPr>
            <w:tcW w:w="2559" w:type="dxa"/>
            <w:tcBorders>
              <w:top w:val="single" w:sz="4" w:space="0" w:color="auto"/>
              <w:left w:val="nil"/>
              <w:bottom w:val="nil"/>
              <w:right w:val="single" w:sz="8" w:space="0" w:color="auto"/>
            </w:tcBorders>
            <w:shd w:val="clear" w:color="auto" w:fill="auto"/>
            <w:noWrap/>
            <w:vAlign w:val="bottom"/>
            <w:hideMark/>
          </w:tcPr>
          <w:p w:rsidR="004E33FD" w:rsidRPr="003C1B65" w:rsidRDefault="004E33FD" w:rsidP="009A4F42">
            <w:pPr>
              <w:jc w:val="right"/>
              <w:rPr>
                <w:color w:val="000000"/>
              </w:rPr>
            </w:pPr>
            <w:r>
              <w:rPr>
                <w:color w:val="000000"/>
              </w:rPr>
              <w:t>11.921.313,61</w:t>
            </w:r>
          </w:p>
        </w:tc>
      </w:tr>
      <w:tr w:rsidR="004E33FD" w:rsidRPr="003C1B65" w:rsidTr="004E33FD">
        <w:trPr>
          <w:trHeight w:val="405"/>
        </w:trPr>
        <w:tc>
          <w:tcPr>
            <w:tcW w:w="1399" w:type="dxa"/>
            <w:tcBorders>
              <w:top w:val="nil"/>
              <w:left w:val="single" w:sz="8" w:space="0" w:color="auto"/>
              <w:bottom w:val="single" w:sz="4" w:space="0" w:color="auto"/>
              <w:right w:val="single" w:sz="4" w:space="0" w:color="auto"/>
            </w:tcBorders>
            <w:shd w:val="clear" w:color="auto" w:fill="auto"/>
            <w:noWrap/>
            <w:vAlign w:val="bottom"/>
            <w:hideMark/>
          </w:tcPr>
          <w:p w:rsidR="004E33FD" w:rsidRPr="003C1B65" w:rsidRDefault="004E33FD" w:rsidP="009A4F42">
            <w:pPr>
              <w:jc w:val="center"/>
              <w:rPr>
                <w:color w:val="000000"/>
              </w:rPr>
            </w:pPr>
            <w:r w:rsidRPr="003C1B65">
              <w:rPr>
                <w:color w:val="000000"/>
              </w:rPr>
              <w:t>2.</w:t>
            </w:r>
          </w:p>
        </w:tc>
        <w:tc>
          <w:tcPr>
            <w:tcW w:w="5104" w:type="dxa"/>
            <w:tcBorders>
              <w:top w:val="nil"/>
              <w:left w:val="nil"/>
              <w:bottom w:val="single" w:sz="4" w:space="0" w:color="auto"/>
              <w:right w:val="single" w:sz="4" w:space="0" w:color="auto"/>
            </w:tcBorders>
            <w:shd w:val="clear" w:color="auto" w:fill="auto"/>
            <w:noWrap/>
            <w:vAlign w:val="bottom"/>
            <w:hideMark/>
          </w:tcPr>
          <w:p w:rsidR="004E33FD" w:rsidRPr="003C1B65" w:rsidRDefault="004E33FD" w:rsidP="009A4F42">
            <w:pPr>
              <w:rPr>
                <w:color w:val="000000"/>
              </w:rPr>
            </w:pPr>
            <w:r w:rsidRPr="003C1B65">
              <w:rPr>
                <w:color w:val="000000"/>
              </w:rPr>
              <w:t>GRAD ŠIBENIK</w:t>
            </w:r>
          </w:p>
        </w:tc>
        <w:tc>
          <w:tcPr>
            <w:tcW w:w="2559" w:type="dxa"/>
            <w:tcBorders>
              <w:top w:val="single" w:sz="4" w:space="0" w:color="auto"/>
              <w:left w:val="nil"/>
              <w:bottom w:val="nil"/>
              <w:right w:val="single" w:sz="8" w:space="0" w:color="auto"/>
            </w:tcBorders>
            <w:shd w:val="clear" w:color="auto" w:fill="auto"/>
            <w:noWrap/>
            <w:vAlign w:val="bottom"/>
            <w:hideMark/>
          </w:tcPr>
          <w:p w:rsidR="004E33FD" w:rsidRPr="003C1B65" w:rsidRDefault="004E33FD" w:rsidP="009A4F42">
            <w:pPr>
              <w:jc w:val="right"/>
              <w:rPr>
                <w:color w:val="000000"/>
              </w:rPr>
            </w:pPr>
            <w:r>
              <w:rPr>
                <w:color w:val="000000"/>
              </w:rPr>
              <w:t>22.662.150,80</w:t>
            </w:r>
          </w:p>
        </w:tc>
      </w:tr>
      <w:tr w:rsidR="004E33FD" w:rsidRPr="003C1B65" w:rsidTr="004E33FD">
        <w:trPr>
          <w:trHeight w:val="330"/>
        </w:trPr>
        <w:tc>
          <w:tcPr>
            <w:tcW w:w="650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33FD" w:rsidRPr="003C1B65" w:rsidRDefault="004E33FD" w:rsidP="009A4F42">
            <w:pPr>
              <w:jc w:val="center"/>
              <w:rPr>
                <w:b/>
                <w:bCs/>
                <w:color w:val="000000"/>
              </w:rPr>
            </w:pPr>
            <w:r w:rsidRPr="003C1B65">
              <w:rPr>
                <w:b/>
                <w:bCs/>
                <w:color w:val="000000"/>
              </w:rPr>
              <w:t xml:space="preserve">UKUPNO </w:t>
            </w:r>
          </w:p>
        </w:tc>
        <w:tc>
          <w:tcPr>
            <w:tcW w:w="2559" w:type="dxa"/>
            <w:tcBorders>
              <w:top w:val="single" w:sz="8" w:space="0" w:color="auto"/>
              <w:left w:val="nil"/>
              <w:bottom w:val="single" w:sz="8" w:space="0" w:color="auto"/>
              <w:right w:val="single" w:sz="8" w:space="0" w:color="auto"/>
            </w:tcBorders>
            <w:shd w:val="clear" w:color="auto" w:fill="auto"/>
            <w:noWrap/>
            <w:vAlign w:val="bottom"/>
            <w:hideMark/>
          </w:tcPr>
          <w:p w:rsidR="004E33FD" w:rsidRPr="003C1B65" w:rsidRDefault="004E33FD" w:rsidP="009A4F42">
            <w:pPr>
              <w:jc w:val="right"/>
              <w:rPr>
                <w:b/>
                <w:bCs/>
                <w:color w:val="000000"/>
              </w:rPr>
            </w:pPr>
            <w:r>
              <w:rPr>
                <w:b/>
                <w:bCs/>
                <w:color w:val="000000"/>
              </w:rPr>
              <w:t>34.583.464,41</w:t>
            </w:r>
          </w:p>
        </w:tc>
      </w:tr>
      <w:tr w:rsidR="004E33FD" w:rsidRPr="003C1B65" w:rsidTr="004E33FD">
        <w:trPr>
          <w:trHeight w:val="330"/>
        </w:trPr>
        <w:tc>
          <w:tcPr>
            <w:tcW w:w="1399" w:type="dxa"/>
            <w:tcBorders>
              <w:top w:val="nil"/>
              <w:left w:val="nil"/>
              <w:bottom w:val="nil"/>
              <w:right w:val="nil"/>
            </w:tcBorders>
            <w:shd w:val="clear" w:color="auto" w:fill="auto"/>
            <w:noWrap/>
            <w:vAlign w:val="bottom"/>
            <w:hideMark/>
          </w:tcPr>
          <w:p w:rsidR="004E33FD" w:rsidRPr="003C1B65" w:rsidRDefault="004E33FD" w:rsidP="009A4F42">
            <w:pPr>
              <w:jc w:val="right"/>
              <w:rPr>
                <w:b/>
                <w:bCs/>
                <w:color w:val="000000"/>
              </w:rPr>
            </w:pPr>
          </w:p>
        </w:tc>
        <w:tc>
          <w:tcPr>
            <w:tcW w:w="5104" w:type="dxa"/>
            <w:tcBorders>
              <w:top w:val="nil"/>
              <w:left w:val="nil"/>
              <w:bottom w:val="nil"/>
              <w:right w:val="nil"/>
            </w:tcBorders>
            <w:shd w:val="clear" w:color="auto" w:fill="auto"/>
            <w:noWrap/>
            <w:vAlign w:val="bottom"/>
            <w:hideMark/>
          </w:tcPr>
          <w:p w:rsidR="004E33FD" w:rsidRPr="003C1B65" w:rsidRDefault="004E33FD" w:rsidP="009A4F42">
            <w:pPr>
              <w:rPr>
                <w:sz w:val="20"/>
                <w:szCs w:val="20"/>
              </w:rPr>
            </w:pPr>
          </w:p>
        </w:tc>
        <w:tc>
          <w:tcPr>
            <w:tcW w:w="2559" w:type="dxa"/>
            <w:tcBorders>
              <w:top w:val="nil"/>
              <w:left w:val="nil"/>
              <w:bottom w:val="nil"/>
              <w:right w:val="nil"/>
            </w:tcBorders>
            <w:shd w:val="clear" w:color="auto" w:fill="auto"/>
            <w:noWrap/>
            <w:vAlign w:val="bottom"/>
            <w:hideMark/>
          </w:tcPr>
          <w:p w:rsidR="004E33FD" w:rsidRPr="003C1B65" w:rsidRDefault="004E33FD" w:rsidP="009A4F42">
            <w:pPr>
              <w:rPr>
                <w:sz w:val="20"/>
                <w:szCs w:val="20"/>
              </w:rPr>
            </w:pPr>
          </w:p>
        </w:tc>
      </w:tr>
      <w:tr w:rsidR="004E33FD" w:rsidRPr="003C1B65" w:rsidTr="004E33FD">
        <w:trPr>
          <w:trHeight w:val="330"/>
        </w:trPr>
        <w:tc>
          <w:tcPr>
            <w:tcW w:w="9062" w:type="dxa"/>
            <w:gridSpan w:val="3"/>
            <w:tcBorders>
              <w:top w:val="single" w:sz="8" w:space="0" w:color="auto"/>
              <w:left w:val="single" w:sz="8" w:space="0" w:color="auto"/>
              <w:bottom w:val="single" w:sz="8" w:space="0" w:color="auto"/>
              <w:right w:val="single" w:sz="8" w:space="0" w:color="000000"/>
            </w:tcBorders>
            <w:shd w:val="clear" w:color="auto" w:fill="C6D9F1" w:themeFill="text2" w:themeFillTint="33"/>
            <w:vAlign w:val="bottom"/>
            <w:hideMark/>
          </w:tcPr>
          <w:p w:rsidR="004E33FD" w:rsidRPr="003C1B65" w:rsidRDefault="004E33FD" w:rsidP="009A4F42">
            <w:pPr>
              <w:jc w:val="center"/>
              <w:rPr>
                <w:b/>
                <w:bCs/>
              </w:rPr>
            </w:pPr>
            <w:r w:rsidRPr="003C1B65">
              <w:rPr>
                <w:b/>
                <w:bCs/>
              </w:rPr>
              <w:t xml:space="preserve">ZAJMOVI TRGOVAČKIM DRUŠTVIMA U JAVNOM SEKTORU </w:t>
            </w:r>
          </w:p>
        </w:tc>
      </w:tr>
      <w:tr w:rsidR="004E33FD" w:rsidRPr="003C1B65" w:rsidTr="004E33FD">
        <w:trPr>
          <w:trHeight w:val="300"/>
        </w:trPr>
        <w:tc>
          <w:tcPr>
            <w:tcW w:w="139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4E33FD" w:rsidRPr="003C1B65" w:rsidRDefault="004E33FD" w:rsidP="009A4F42">
            <w:pPr>
              <w:jc w:val="center"/>
              <w:rPr>
                <w:i/>
                <w:iCs/>
              </w:rPr>
            </w:pPr>
            <w:r w:rsidRPr="003C1B65">
              <w:rPr>
                <w:i/>
                <w:iCs/>
              </w:rPr>
              <w:t>134120100</w:t>
            </w:r>
          </w:p>
        </w:tc>
        <w:tc>
          <w:tcPr>
            <w:tcW w:w="7663" w:type="dxa"/>
            <w:gridSpan w:val="2"/>
            <w:tcBorders>
              <w:top w:val="single" w:sz="8" w:space="0" w:color="auto"/>
              <w:left w:val="nil"/>
              <w:bottom w:val="single" w:sz="8" w:space="0" w:color="auto"/>
              <w:right w:val="single" w:sz="8" w:space="0" w:color="000000"/>
            </w:tcBorders>
            <w:shd w:val="clear" w:color="auto" w:fill="auto"/>
            <w:vAlign w:val="bottom"/>
            <w:hideMark/>
          </w:tcPr>
          <w:p w:rsidR="004E33FD" w:rsidRPr="003C1B65" w:rsidRDefault="004E33FD" w:rsidP="009A4F42">
            <w:pPr>
              <w:rPr>
                <w:i/>
                <w:iCs/>
              </w:rPr>
            </w:pPr>
            <w:r w:rsidRPr="003C1B65">
              <w:rPr>
                <w:i/>
                <w:iCs/>
              </w:rPr>
              <w:t>Zajmovi trgovačkim društvima u javnom sektoru - dugoročni</w:t>
            </w:r>
          </w:p>
        </w:tc>
      </w:tr>
      <w:tr w:rsidR="004E33FD" w:rsidRPr="003C1B65" w:rsidTr="004E33FD">
        <w:trPr>
          <w:trHeight w:val="315"/>
        </w:trPr>
        <w:tc>
          <w:tcPr>
            <w:tcW w:w="1399" w:type="dxa"/>
            <w:tcBorders>
              <w:top w:val="nil"/>
              <w:left w:val="single" w:sz="8" w:space="0" w:color="auto"/>
              <w:bottom w:val="single" w:sz="4" w:space="0" w:color="auto"/>
              <w:right w:val="single" w:sz="4" w:space="0" w:color="auto"/>
            </w:tcBorders>
            <w:shd w:val="clear" w:color="auto" w:fill="auto"/>
            <w:noWrap/>
            <w:vAlign w:val="bottom"/>
            <w:hideMark/>
          </w:tcPr>
          <w:p w:rsidR="004E33FD" w:rsidRPr="003C1B65" w:rsidRDefault="004E33FD" w:rsidP="009A4F42">
            <w:pPr>
              <w:jc w:val="center"/>
              <w:rPr>
                <w:color w:val="000000"/>
              </w:rPr>
            </w:pPr>
            <w:r w:rsidRPr="003C1B65">
              <w:rPr>
                <w:color w:val="000000"/>
              </w:rPr>
              <w:t>1.</w:t>
            </w:r>
          </w:p>
        </w:tc>
        <w:tc>
          <w:tcPr>
            <w:tcW w:w="5104" w:type="dxa"/>
            <w:tcBorders>
              <w:top w:val="single" w:sz="4" w:space="0" w:color="auto"/>
              <w:left w:val="nil"/>
              <w:bottom w:val="single" w:sz="4" w:space="0" w:color="auto"/>
              <w:right w:val="single" w:sz="4" w:space="0" w:color="auto"/>
            </w:tcBorders>
            <w:shd w:val="clear" w:color="auto" w:fill="auto"/>
            <w:noWrap/>
            <w:vAlign w:val="bottom"/>
            <w:hideMark/>
          </w:tcPr>
          <w:p w:rsidR="004E33FD" w:rsidRPr="003C1B65" w:rsidRDefault="004E33FD" w:rsidP="009A4F42">
            <w:pPr>
              <w:rPr>
                <w:color w:val="000000"/>
              </w:rPr>
            </w:pPr>
            <w:proofErr w:type="spellStart"/>
            <w:r w:rsidRPr="003C1B65">
              <w:rPr>
                <w:color w:val="000000"/>
              </w:rPr>
              <w:t>Ekoplus</w:t>
            </w:r>
            <w:proofErr w:type="spellEnd"/>
            <w:r w:rsidRPr="003C1B65">
              <w:rPr>
                <w:color w:val="000000"/>
              </w:rPr>
              <w:t xml:space="preserve"> d.o.o. Rijeka</w:t>
            </w:r>
          </w:p>
        </w:tc>
        <w:tc>
          <w:tcPr>
            <w:tcW w:w="2559" w:type="dxa"/>
            <w:tcBorders>
              <w:top w:val="single" w:sz="4" w:space="0" w:color="auto"/>
              <w:left w:val="nil"/>
              <w:bottom w:val="single" w:sz="4" w:space="0" w:color="auto"/>
              <w:right w:val="single" w:sz="4" w:space="0" w:color="auto"/>
            </w:tcBorders>
            <w:shd w:val="clear" w:color="auto" w:fill="auto"/>
            <w:noWrap/>
            <w:vAlign w:val="bottom"/>
            <w:hideMark/>
          </w:tcPr>
          <w:p w:rsidR="004E33FD" w:rsidRPr="003C1B65" w:rsidRDefault="004E33FD" w:rsidP="009A4F42">
            <w:pPr>
              <w:jc w:val="right"/>
              <w:rPr>
                <w:i/>
                <w:iCs/>
                <w:color w:val="000000"/>
              </w:rPr>
            </w:pPr>
            <w:r>
              <w:rPr>
                <w:i/>
                <w:iCs/>
                <w:color w:val="000000"/>
              </w:rPr>
              <w:t>24.905.517,45</w:t>
            </w:r>
          </w:p>
        </w:tc>
      </w:tr>
    </w:tbl>
    <w:p w:rsidR="004E33FD" w:rsidRDefault="004E33FD" w:rsidP="003B7F57">
      <w:pPr>
        <w:jc w:val="both"/>
        <w:rPr>
          <w:i/>
        </w:rPr>
      </w:pPr>
    </w:p>
    <w:p w:rsidR="00795651" w:rsidRDefault="00795651" w:rsidP="003B7F57">
      <w:pPr>
        <w:jc w:val="both"/>
        <w:rPr>
          <w:i/>
        </w:rPr>
      </w:pPr>
    </w:p>
    <w:p w:rsidR="00795651" w:rsidRDefault="004A4091" w:rsidP="00795651">
      <w:pPr>
        <w:spacing w:after="200" w:line="276" w:lineRule="auto"/>
        <w:contextualSpacing/>
        <w:jc w:val="both"/>
        <w:rPr>
          <w:b/>
          <w:lang w:val="hr-BA"/>
        </w:rPr>
      </w:pPr>
      <w:r>
        <w:rPr>
          <w:b/>
          <w:lang w:val="hr-BA"/>
        </w:rPr>
        <w:t>ZADUŽIVANJE</w:t>
      </w:r>
      <w:r w:rsidR="00795651" w:rsidRPr="008F12E0">
        <w:rPr>
          <w:b/>
          <w:lang w:val="hr-BA"/>
        </w:rPr>
        <w:t xml:space="preserve"> </w:t>
      </w:r>
      <w:r w:rsidR="00795651">
        <w:rPr>
          <w:b/>
          <w:lang w:val="hr-BA"/>
        </w:rPr>
        <w:t>PRORAČUNSKI</w:t>
      </w:r>
      <w:r>
        <w:rPr>
          <w:b/>
          <w:lang w:val="hr-BA"/>
        </w:rPr>
        <w:t>H KORISNIKA</w:t>
      </w:r>
      <w:r w:rsidR="00795651">
        <w:rPr>
          <w:b/>
          <w:lang w:val="hr-BA"/>
        </w:rPr>
        <w:t xml:space="preserve"> DRŽAVNOG PRORAČUNA</w:t>
      </w:r>
    </w:p>
    <w:p w:rsidR="00004A46" w:rsidRDefault="00004A46" w:rsidP="00795651">
      <w:pPr>
        <w:spacing w:after="200" w:line="276" w:lineRule="auto"/>
        <w:contextualSpacing/>
        <w:jc w:val="both"/>
        <w:rPr>
          <w:b/>
          <w:lang w:val="hr-BA"/>
        </w:rPr>
      </w:pPr>
    </w:p>
    <w:p w:rsidR="004A4091" w:rsidRDefault="00004A46" w:rsidP="004A4091">
      <w:pPr>
        <w:spacing w:before="240" w:line="276" w:lineRule="auto"/>
        <w:contextualSpacing/>
        <w:jc w:val="both"/>
        <w:rPr>
          <w:lang w:val="hr-BA"/>
        </w:rPr>
      </w:pPr>
      <w:r>
        <w:rPr>
          <w:lang w:val="hr-BA"/>
        </w:rPr>
        <w:t>U tablici 12</w:t>
      </w:r>
      <w:r w:rsidR="00795651" w:rsidRPr="00F81882">
        <w:rPr>
          <w:lang w:val="hr-BA"/>
        </w:rPr>
        <w:t xml:space="preserve">. </w:t>
      </w:r>
      <w:r w:rsidR="004A4091" w:rsidRPr="00F81882">
        <w:rPr>
          <w:lang w:val="hr-BA"/>
        </w:rPr>
        <w:t xml:space="preserve">daje se pregled danih zajmova </w:t>
      </w:r>
      <w:r w:rsidR="004A4091">
        <w:rPr>
          <w:lang w:val="hr-BA"/>
        </w:rPr>
        <w:t>koje su ugovorili</w:t>
      </w:r>
      <w:r w:rsidR="004A4091" w:rsidRPr="00F81882">
        <w:rPr>
          <w:lang w:val="hr-BA"/>
        </w:rPr>
        <w:t xml:space="preserve"> proračunski korisni</w:t>
      </w:r>
      <w:r w:rsidR="004A4091">
        <w:rPr>
          <w:lang w:val="hr-BA"/>
        </w:rPr>
        <w:t>ci</w:t>
      </w:r>
      <w:r w:rsidR="004A4091" w:rsidRPr="00F81882">
        <w:rPr>
          <w:lang w:val="hr-BA"/>
        </w:rPr>
        <w:t xml:space="preserve"> državnog proračuna</w:t>
      </w:r>
      <w:r w:rsidR="004A4091">
        <w:rPr>
          <w:lang w:val="hr-BA"/>
        </w:rPr>
        <w:t>.</w:t>
      </w:r>
      <w:r w:rsidR="004A4091" w:rsidRPr="003A4E9C">
        <w:rPr>
          <w:i/>
          <w:sz w:val="20"/>
          <w:szCs w:val="20"/>
          <w:lang w:val="hr-BA"/>
        </w:rPr>
        <w:t xml:space="preserve"> </w:t>
      </w:r>
      <w:r w:rsidR="004A4091" w:rsidRPr="003A4E9C">
        <w:rPr>
          <w:lang w:val="hr-BA"/>
        </w:rPr>
        <w:t>Podaci o danim zajmovima uključuju iznose iskazane u financijskim izvještajima proračunskih korisnika državnog proračuna u okviru skupine 51 Izdaci za dane zajmove i depozite</w:t>
      </w:r>
      <w:r w:rsidR="004A4091">
        <w:rPr>
          <w:lang w:val="hr-BA"/>
        </w:rPr>
        <w:t>.</w:t>
      </w:r>
    </w:p>
    <w:p w:rsidR="004A4091" w:rsidRDefault="004A4091" w:rsidP="004A4091">
      <w:pPr>
        <w:spacing w:before="240" w:line="276" w:lineRule="auto"/>
        <w:contextualSpacing/>
        <w:jc w:val="both"/>
        <w:rPr>
          <w:lang w:val="hr-BA"/>
        </w:rPr>
      </w:pPr>
    </w:p>
    <w:p w:rsidR="004A4091" w:rsidRDefault="004A4091" w:rsidP="004A4091">
      <w:pPr>
        <w:spacing w:before="240" w:line="276" w:lineRule="auto"/>
        <w:contextualSpacing/>
        <w:jc w:val="both"/>
        <w:rPr>
          <w:lang w:val="hr-BA"/>
        </w:rPr>
      </w:pPr>
      <w:r w:rsidRPr="00AB26C3">
        <w:rPr>
          <w:i/>
          <w:lang w:val="hr-BA"/>
        </w:rPr>
        <w:t xml:space="preserve">Tablica 12. </w:t>
      </w:r>
      <w:r w:rsidRPr="004A4091">
        <w:rPr>
          <w:i/>
          <w:lang w:val="hr-BA"/>
        </w:rPr>
        <w:t>Pregled danih zajmova proračunskih korisnika državnog proračuna</w:t>
      </w:r>
      <w:r w:rsidRPr="00AB26C3">
        <w:rPr>
          <w:i/>
          <w:lang w:val="hr-BA"/>
        </w:rPr>
        <w:t xml:space="preserve"> u izvještajnom razdoblju</w:t>
      </w:r>
    </w:p>
    <w:p w:rsidR="004A4091" w:rsidRDefault="004A4091" w:rsidP="004A4091">
      <w:pPr>
        <w:spacing w:before="240" w:line="276" w:lineRule="auto"/>
        <w:contextualSpacing/>
        <w:jc w:val="both"/>
        <w:rPr>
          <w:lang w:val="hr-BA"/>
        </w:rPr>
      </w:pPr>
      <w:bookmarkStart w:id="0" w:name="_GoBack"/>
      <w:r w:rsidRPr="004A4091">
        <w:drawing>
          <wp:inline distT="0" distB="0" distL="0" distR="0">
            <wp:extent cx="5519530" cy="2590800"/>
            <wp:effectExtent l="0" t="0" r="508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54759" cy="2607336"/>
                    </a:xfrm>
                    <a:prstGeom prst="rect">
                      <a:avLst/>
                    </a:prstGeom>
                    <a:noFill/>
                    <a:ln>
                      <a:noFill/>
                    </a:ln>
                  </pic:spPr>
                </pic:pic>
              </a:graphicData>
            </a:graphic>
          </wp:inline>
        </w:drawing>
      </w:r>
      <w:bookmarkEnd w:id="0"/>
    </w:p>
    <w:p w:rsidR="004A4091" w:rsidRDefault="004A4091" w:rsidP="00795651">
      <w:pPr>
        <w:spacing w:after="200" w:line="276" w:lineRule="auto"/>
        <w:contextualSpacing/>
        <w:jc w:val="both"/>
        <w:rPr>
          <w:lang w:val="hr-BA"/>
        </w:rPr>
      </w:pPr>
    </w:p>
    <w:p w:rsidR="004A4091" w:rsidRDefault="004A4091" w:rsidP="00795651">
      <w:pPr>
        <w:spacing w:after="200" w:line="276" w:lineRule="auto"/>
        <w:contextualSpacing/>
        <w:jc w:val="both"/>
        <w:rPr>
          <w:lang w:val="hr-BA"/>
        </w:rPr>
      </w:pPr>
    </w:p>
    <w:p w:rsidR="00795651" w:rsidRDefault="004A4091" w:rsidP="00795651">
      <w:pPr>
        <w:spacing w:after="200" w:line="276" w:lineRule="auto"/>
        <w:contextualSpacing/>
        <w:jc w:val="both"/>
        <w:rPr>
          <w:lang w:val="hr-BA"/>
        </w:rPr>
      </w:pPr>
      <w:r>
        <w:rPr>
          <w:lang w:val="hr-BA"/>
        </w:rPr>
        <w:t>U tablici 13</w:t>
      </w:r>
      <w:r w:rsidRPr="00F81882">
        <w:rPr>
          <w:lang w:val="hr-BA"/>
        </w:rPr>
        <w:t xml:space="preserve">. </w:t>
      </w:r>
      <w:r w:rsidR="00795651" w:rsidRPr="00F81882">
        <w:rPr>
          <w:lang w:val="hr-BA"/>
        </w:rPr>
        <w:t>daje se pregled povrata glavnice danih zajmova i depozita proračunskih korisnika državnog proračuna u izvještajnom razdoblju</w:t>
      </w:r>
      <w:r w:rsidR="00795651">
        <w:rPr>
          <w:lang w:val="hr-BA"/>
        </w:rPr>
        <w:t>.</w:t>
      </w:r>
      <w:r w:rsidR="00795651">
        <w:rPr>
          <w:i/>
          <w:sz w:val="20"/>
          <w:szCs w:val="20"/>
          <w:lang w:val="hr-BA"/>
        </w:rPr>
        <w:t xml:space="preserve"> </w:t>
      </w:r>
      <w:r w:rsidR="00795651" w:rsidRPr="003A4E9C">
        <w:rPr>
          <w:lang w:val="hr-BA"/>
        </w:rPr>
        <w:t>Podaci uključuju iznose iskazane u financijskim izvještajima proračunskih korisnika državnog proračuna u okviru skupine 81 Primljeni povrati glavnice danih zajmova i depozita</w:t>
      </w:r>
      <w:r w:rsidR="00795651">
        <w:rPr>
          <w:lang w:val="hr-BA"/>
        </w:rPr>
        <w:t>.</w:t>
      </w:r>
    </w:p>
    <w:p w:rsidR="004A4091" w:rsidRDefault="004A4091" w:rsidP="00AB26C3">
      <w:pPr>
        <w:spacing w:after="200" w:line="276" w:lineRule="auto"/>
        <w:contextualSpacing/>
        <w:jc w:val="both"/>
        <w:rPr>
          <w:lang w:val="hr-BA"/>
        </w:rPr>
      </w:pPr>
    </w:p>
    <w:p w:rsidR="00AB26C3" w:rsidRPr="00AB26C3" w:rsidRDefault="004A4091" w:rsidP="00AB26C3">
      <w:pPr>
        <w:spacing w:after="200" w:line="276" w:lineRule="auto"/>
        <w:contextualSpacing/>
        <w:jc w:val="both"/>
        <w:rPr>
          <w:i/>
          <w:lang w:val="hr-BA"/>
        </w:rPr>
      </w:pPr>
      <w:r>
        <w:rPr>
          <w:i/>
          <w:lang w:val="hr-BA"/>
        </w:rPr>
        <w:t>Tablica 13</w:t>
      </w:r>
      <w:r w:rsidR="00AB26C3" w:rsidRPr="00AB26C3">
        <w:rPr>
          <w:i/>
          <w:lang w:val="hr-BA"/>
        </w:rPr>
        <w:t>. Primljeni povrati glavnice danih zajmova i depozita u izvještajnom razdoblju</w:t>
      </w:r>
    </w:p>
    <w:p w:rsidR="00AB26C3" w:rsidRDefault="00AB26C3" w:rsidP="003B7F57">
      <w:pPr>
        <w:jc w:val="both"/>
        <w:rPr>
          <w:i/>
        </w:rPr>
      </w:pPr>
      <w:r w:rsidRPr="00AB26C3">
        <w:rPr>
          <w:noProof/>
        </w:rPr>
        <w:drawing>
          <wp:inline distT="0" distB="0" distL="0" distR="0">
            <wp:extent cx="5476875" cy="45815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4581525"/>
                    </a:xfrm>
                    <a:prstGeom prst="rect">
                      <a:avLst/>
                    </a:prstGeom>
                    <a:noFill/>
                    <a:ln>
                      <a:noFill/>
                    </a:ln>
                  </pic:spPr>
                </pic:pic>
              </a:graphicData>
            </a:graphic>
          </wp:inline>
        </w:drawing>
      </w:r>
    </w:p>
    <w:sectPr w:rsidR="00AB26C3" w:rsidSect="00776C00">
      <w:footerReference w:type="default" r:id="rId14"/>
      <w:pgSz w:w="11906" w:h="16838"/>
      <w:pgMar w:top="1417" w:right="1417" w:bottom="1417" w:left="1417" w:header="708" w:footer="708" w:gutter="0"/>
      <w:pgNumType w:start="5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386" w:rsidRDefault="007B2386" w:rsidP="0013017E">
      <w:r>
        <w:separator/>
      </w:r>
    </w:p>
  </w:endnote>
  <w:endnote w:type="continuationSeparator" w:id="0">
    <w:p w:rsidR="007B2386" w:rsidRDefault="007B2386" w:rsidP="0013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084364"/>
      <w:docPartObj>
        <w:docPartGallery w:val="Page Numbers (Bottom of Page)"/>
        <w:docPartUnique/>
      </w:docPartObj>
    </w:sdtPr>
    <w:sdtEndPr/>
    <w:sdtContent>
      <w:p w:rsidR="00110B9F" w:rsidRDefault="00110B9F">
        <w:pPr>
          <w:pStyle w:val="Podnoje"/>
          <w:jc w:val="center"/>
        </w:pPr>
        <w:r>
          <w:fldChar w:fldCharType="begin"/>
        </w:r>
        <w:r>
          <w:instrText>PAGE   \* MERGEFORMAT</w:instrText>
        </w:r>
        <w:r>
          <w:fldChar w:fldCharType="separate"/>
        </w:r>
        <w:r w:rsidR="006D27CE">
          <w:rPr>
            <w:noProof/>
          </w:rPr>
          <w:t>550</w:t>
        </w:r>
        <w:r>
          <w:fldChar w:fldCharType="end"/>
        </w:r>
      </w:p>
    </w:sdtContent>
  </w:sdt>
  <w:p w:rsidR="00110B9F" w:rsidRDefault="00110B9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386" w:rsidRDefault="007B2386" w:rsidP="0013017E">
      <w:r>
        <w:separator/>
      </w:r>
    </w:p>
  </w:footnote>
  <w:footnote w:type="continuationSeparator" w:id="0">
    <w:p w:rsidR="007B2386" w:rsidRDefault="007B2386" w:rsidP="0013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C3E"/>
    <w:multiLevelType w:val="hybridMultilevel"/>
    <w:tmpl w:val="41E68E08"/>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57BDC"/>
    <w:multiLevelType w:val="hybridMultilevel"/>
    <w:tmpl w:val="DB7CA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A53571"/>
    <w:multiLevelType w:val="hybridMultilevel"/>
    <w:tmpl w:val="B9A0C44A"/>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9463D4"/>
    <w:multiLevelType w:val="hybridMultilevel"/>
    <w:tmpl w:val="2020B3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4E67DA"/>
    <w:multiLevelType w:val="hybridMultilevel"/>
    <w:tmpl w:val="9DC28AA0"/>
    <w:lvl w:ilvl="0" w:tplc="4ED6CF48">
      <w:start w:val="1"/>
      <w:numFmt w:val="upperRoman"/>
      <w:lvlText w:val="%1."/>
      <w:lvlJc w:val="left"/>
      <w:pPr>
        <w:ind w:left="6249" w:hanging="720"/>
      </w:pPr>
      <w:rPr>
        <w:rFonts w:hint="default"/>
      </w:rPr>
    </w:lvl>
    <w:lvl w:ilvl="1" w:tplc="041A0019" w:tentative="1">
      <w:start w:val="1"/>
      <w:numFmt w:val="lowerLetter"/>
      <w:lvlText w:val="%2."/>
      <w:lvlJc w:val="left"/>
      <w:pPr>
        <w:ind w:left="6969" w:hanging="360"/>
      </w:pPr>
    </w:lvl>
    <w:lvl w:ilvl="2" w:tplc="041A001B" w:tentative="1">
      <w:start w:val="1"/>
      <w:numFmt w:val="lowerRoman"/>
      <w:lvlText w:val="%3."/>
      <w:lvlJc w:val="right"/>
      <w:pPr>
        <w:ind w:left="7689" w:hanging="180"/>
      </w:pPr>
    </w:lvl>
    <w:lvl w:ilvl="3" w:tplc="041A000F" w:tentative="1">
      <w:start w:val="1"/>
      <w:numFmt w:val="decimal"/>
      <w:lvlText w:val="%4."/>
      <w:lvlJc w:val="left"/>
      <w:pPr>
        <w:ind w:left="8409" w:hanging="360"/>
      </w:pPr>
    </w:lvl>
    <w:lvl w:ilvl="4" w:tplc="041A0019" w:tentative="1">
      <w:start w:val="1"/>
      <w:numFmt w:val="lowerLetter"/>
      <w:lvlText w:val="%5."/>
      <w:lvlJc w:val="left"/>
      <w:pPr>
        <w:ind w:left="9129" w:hanging="360"/>
      </w:pPr>
    </w:lvl>
    <w:lvl w:ilvl="5" w:tplc="041A001B" w:tentative="1">
      <w:start w:val="1"/>
      <w:numFmt w:val="lowerRoman"/>
      <w:lvlText w:val="%6."/>
      <w:lvlJc w:val="right"/>
      <w:pPr>
        <w:ind w:left="9849" w:hanging="180"/>
      </w:pPr>
    </w:lvl>
    <w:lvl w:ilvl="6" w:tplc="041A000F" w:tentative="1">
      <w:start w:val="1"/>
      <w:numFmt w:val="decimal"/>
      <w:lvlText w:val="%7."/>
      <w:lvlJc w:val="left"/>
      <w:pPr>
        <w:ind w:left="10569" w:hanging="360"/>
      </w:pPr>
    </w:lvl>
    <w:lvl w:ilvl="7" w:tplc="041A0019" w:tentative="1">
      <w:start w:val="1"/>
      <w:numFmt w:val="lowerLetter"/>
      <w:lvlText w:val="%8."/>
      <w:lvlJc w:val="left"/>
      <w:pPr>
        <w:ind w:left="11289" w:hanging="360"/>
      </w:pPr>
    </w:lvl>
    <w:lvl w:ilvl="8" w:tplc="041A001B" w:tentative="1">
      <w:start w:val="1"/>
      <w:numFmt w:val="lowerRoman"/>
      <w:lvlText w:val="%9."/>
      <w:lvlJc w:val="right"/>
      <w:pPr>
        <w:ind w:left="12009" w:hanging="180"/>
      </w:pPr>
    </w:lvl>
  </w:abstractNum>
  <w:abstractNum w:abstractNumId="5" w15:restartNumberingAfterBreak="0">
    <w:nsid w:val="2C0F68B6"/>
    <w:multiLevelType w:val="hybridMultilevel"/>
    <w:tmpl w:val="AA9A6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2E53D2"/>
    <w:multiLevelType w:val="hybridMultilevel"/>
    <w:tmpl w:val="D1763A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AF24A9"/>
    <w:multiLevelType w:val="hybridMultilevel"/>
    <w:tmpl w:val="38069682"/>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8817E4"/>
    <w:multiLevelType w:val="hybridMultilevel"/>
    <w:tmpl w:val="82160F58"/>
    <w:lvl w:ilvl="0" w:tplc="C696FD5E">
      <w:numFmt w:val="bullet"/>
      <w:lvlText w:val="-"/>
      <w:lvlJc w:val="left"/>
      <w:pPr>
        <w:ind w:left="1778" w:hanging="360"/>
      </w:pPr>
      <w:rPr>
        <w:rFonts w:ascii="Times New Roman" w:eastAsia="Times New Roman" w:hAnsi="Times New Roman" w:cs="Times New Roman"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9" w15:restartNumberingAfterBreak="0">
    <w:nsid w:val="35DD27C1"/>
    <w:multiLevelType w:val="hybridMultilevel"/>
    <w:tmpl w:val="45D45B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E701B5"/>
    <w:multiLevelType w:val="hybridMultilevel"/>
    <w:tmpl w:val="52C608A0"/>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AA2274"/>
    <w:multiLevelType w:val="hybridMultilevel"/>
    <w:tmpl w:val="E07A3F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565934"/>
    <w:multiLevelType w:val="hybridMultilevel"/>
    <w:tmpl w:val="0EF29D3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050C7F"/>
    <w:multiLevelType w:val="hybridMultilevel"/>
    <w:tmpl w:val="120EF01E"/>
    <w:lvl w:ilvl="0" w:tplc="3514B924">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21A7E80"/>
    <w:multiLevelType w:val="hybridMultilevel"/>
    <w:tmpl w:val="906AD3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23D3067"/>
    <w:multiLevelType w:val="hybridMultilevel"/>
    <w:tmpl w:val="30907C6C"/>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3977FD"/>
    <w:multiLevelType w:val="hybridMultilevel"/>
    <w:tmpl w:val="06AC6376"/>
    <w:lvl w:ilvl="0" w:tplc="73DACF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BB3DC7"/>
    <w:multiLevelType w:val="hybridMultilevel"/>
    <w:tmpl w:val="7FB6E1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8743F0"/>
    <w:multiLevelType w:val="hybridMultilevel"/>
    <w:tmpl w:val="C1E4DA9A"/>
    <w:lvl w:ilvl="0" w:tplc="ABC05C56">
      <w:start w:val="1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A13AEC"/>
    <w:multiLevelType w:val="hybridMultilevel"/>
    <w:tmpl w:val="46385C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6D80D59"/>
    <w:multiLevelType w:val="hybridMultilevel"/>
    <w:tmpl w:val="5E5EC8F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572315"/>
    <w:multiLevelType w:val="hybridMultilevel"/>
    <w:tmpl w:val="19785A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14"/>
  </w:num>
  <w:num w:numId="6">
    <w:abstractNumId w:val="0"/>
  </w:num>
  <w:num w:numId="7">
    <w:abstractNumId w:val="19"/>
  </w:num>
  <w:num w:numId="8">
    <w:abstractNumId w:val="21"/>
  </w:num>
  <w:num w:numId="9">
    <w:abstractNumId w:val="2"/>
  </w:num>
  <w:num w:numId="10">
    <w:abstractNumId w:val="5"/>
  </w:num>
  <w:num w:numId="11">
    <w:abstractNumId w:val="15"/>
  </w:num>
  <w:num w:numId="12">
    <w:abstractNumId w:val="1"/>
  </w:num>
  <w:num w:numId="13">
    <w:abstractNumId w:val="16"/>
  </w:num>
  <w:num w:numId="14">
    <w:abstractNumId w:val="6"/>
  </w:num>
  <w:num w:numId="15">
    <w:abstractNumId w:val="10"/>
  </w:num>
  <w:num w:numId="16">
    <w:abstractNumId w:val="18"/>
  </w:num>
  <w:num w:numId="17">
    <w:abstractNumId w:val="13"/>
  </w:num>
  <w:num w:numId="18">
    <w:abstractNumId w:val="12"/>
  </w:num>
  <w:num w:numId="19">
    <w:abstractNumId w:val="3"/>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2"/>
    <w:rsid w:val="00004A46"/>
    <w:rsid w:val="000153D1"/>
    <w:rsid w:val="00021A9E"/>
    <w:rsid w:val="00036AD7"/>
    <w:rsid w:val="000474D3"/>
    <w:rsid w:val="00051F61"/>
    <w:rsid w:val="0007742B"/>
    <w:rsid w:val="00080E4F"/>
    <w:rsid w:val="0009046D"/>
    <w:rsid w:val="00094DC3"/>
    <w:rsid w:val="000A04EB"/>
    <w:rsid w:val="000B0DEB"/>
    <w:rsid w:val="000B28A8"/>
    <w:rsid w:val="000C74E1"/>
    <w:rsid w:val="000D2EB5"/>
    <w:rsid w:val="000D4D83"/>
    <w:rsid w:val="000E5FE3"/>
    <w:rsid w:val="000E71F3"/>
    <w:rsid w:val="00102672"/>
    <w:rsid w:val="00110B9F"/>
    <w:rsid w:val="0013017E"/>
    <w:rsid w:val="00130A91"/>
    <w:rsid w:val="001433E8"/>
    <w:rsid w:val="00146E67"/>
    <w:rsid w:val="001646E4"/>
    <w:rsid w:val="001728B7"/>
    <w:rsid w:val="0019047D"/>
    <w:rsid w:val="001B018C"/>
    <w:rsid w:val="001B3942"/>
    <w:rsid w:val="001B4003"/>
    <w:rsid w:val="001B5ACB"/>
    <w:rsid w:val="001C2903"/>
    <w:rsid w:val="001E01B4"/>
    <w:rsid w:val="001E4CCD"/>
    <w:rsid w:val="001F25DA"/>
    <w:rsid w:val="001F4CCC"/>
    <w:rsid w:val="001F6239"/>
    <w:rsid w:val="00205337"/>
    <w:rsid w:val="00207C6F"/>
    <w:rsid w:val="00213B2E"/>
    <w:rsid w:val="0021702A"/>
    <w:rsid w:val="002300C9"/>
    <w:rsid w:val="00235F74"/>
    <w:rsid w:val="002367DB"/>
    <w:rsid w:val="002373B0"/>
    <w:rsid w:val="00240389"/>
    <w:rsid w:val="00243D01"/>
    <w:rsid w:val="0027182E"/>
    <w:rsid w:val="00281AC1"/>
    <w:rsid w:val="0028364F"/>
    <w:rsid w:val="002907E8"/>
    <w:rsid w:val="002C2839"/>
    <w:rsid w:val="002C5830"/>
    <w:rsid w:val="002C77C9"/>
    <w:rsid w:val="002E062C"/>
    <w:rsid w:val="002F1008"/>
    <w:rsid w:val="00303A62"/>
    <w:rsid w:val="00305264"/>
    <w:rsid w:val="0032158D"/>
    <w:rsid w:val="003219B7"/>
    <w:rsid w:val="00322A98"/>
    <w:rsid w:val="00324C1F"/>
    <w:rsid w:val="0032621D"/>
    <w:rsid w:val="003376D0"/>
    <w:rsid w:val="00344CA3"/>
    <w:rsid w:val="003617F1"/>
    <w:rsid w:val="00372B2D"/>
    <w:rsid w:val="003801EA"/>
    <w:rsid w:val="003829A6"/>
    <w:rsid w:val="00396226"/>
    <w:rsid w:val="003A72D7"/>
    <w:rsid w:val="003A7DFA"/>
    <w:rsid w:val="003B1F8C"/>
    <w:rsid w:val="003B5416"/>
    <w:rsid w:val="003B7F57"/>
    <w:rsid w:val="003D6C16"/>
    <w:rsid w:val="003E602C"/>
    <w:rsid w:val="003F0A27"/>
    <w:rsid w:val="00402D06"/>
    <w:rsid w:val="0040536B"/>
    <w:rsid w:val="0041106D"/>
    <w:rsid w:val="00411CF2"/>
    <w:rsid w:val="00412F4F"/>
    <w:rsid w:val="00430648"/>
    <w:rsid w:val="004378B0"/>
    <w:rsid w:val="004460EA"/>
    <w:rsid w:val="004606E7"/>
    <w:rsid w:val="004656A8"/>
    <w:rsid w:val="004764CA"/>
    <w:rsid w:val="004838A1"/>
    <w:rsid w:val="00496782"/>
    <w:rsid w:val="00496E94"/>
    <w:rsid w:val="004A13F6"/>
    <w:rsid w:val="004A3D31"/>
    <w:rsid w:val="004A4091"/>
    <w:rsid w:val="004C08DD"/>
    <w:rsid w:val="004D2F7A"/>
    <w:rsid w:val="004E2869"/>
    <w:rsid w:val="004E33FD"/>
    <w:rsid w:val="004E6BE7"/>
    <w:rsid w:val="004F2250"/>
    <w:rsid w:val="0050619C"/>
    <w:rsid w:val="00512103"/>
    <w:rsid w:val="00521063"/>
    <w:rsid w:val="0052371E"/>
    <w:rsid w:val="00524878"/>
    <w:rsid w:val="00531146"/>
    <w:rsid w:val="00531336"/>
    <w:rsid w:val="00540135"/>
    <w:rsid w:val="005440EE"/>
    <w:rsid w:val="005A1E37"/>
    <w:rsid w:val="005A4EBF"/>
    <w:rsid w:val="005B0D9A"/>
    <w:rsid w:val="005B2051"/>
    <w:rsid w:val="005B6498"/>
    <w:rsid w:val="005C1A00"/>
    <w:rsid w:val="005C24C1"/>
    <w:rsid w:val="005D5BD9"/>
    <w:rsid w:val="00606ED2"/>
    <w:rsid w:val="00611F33"/>
    <w:rsid w:val="0061525B"/>
    <w:rsid w:val="006204C0"/>
    <w:rsid w:val="00621DCD"/>
    <w:rsid w:val="00625D1C"/>
    <w:rsid w:val="00627A24"/>
    <w:rsid w:val="006317E3"/>
    <w:rsid w:val="00632AB5"/>
    <w:rsid w:val="00661DA2"/>
    <w:rsid w:val="00666715"/>
    <w:rsid w:val="00667F29"/>
    <w:rsid w:val="006707F4"/>
    <w:rsid w:val="006738DD"/>
    <w:rsid w:val="00682E3E"/>
    <w:rsid w:val="006858F7"/>
    <w:rsid w:val="00685E14"/>
    <w:rsid w:val="00692944"/>
    <w:rsid w:val="00693C41"/>
    <w:rsid w:val="00697CAA"/>
    <w:rsid w:val="006A46B5"/>
    <w:rsid w:val="006B4497"/>
    <w:rsid w:val="006C424E"/>
    <w:rsid w:val="006C4862"/>
    <w:rsid w:val="006D27CE"/>
    <w:rsid w:val="006E0F7D"/>
    <w:rsid w:val="006F6733"/>
    <w:rsid w:val="006F7BAB"/>
    <w:rsid w:val="00703716"/>
    <w:rsid w:val="00703DD8"/>
    <w:rsid w:val="00705E98"/>
    <w:rsid w:val="00713EAF"/>
    <w:rsid w:val="007230EB"/>
    <w:rsid w:val="00730AF0"/>
    <w:rsid w:val="007426A8"/>
    <w:rsid w:val="00744AEE"/>
    <w:rsid w:val="00747A4D"/>
    <w:rsid w:val="00764570"/>
    <w:rsid w:val="00775A3F"/>
    <w:rsid w:val="00776C00"/>
    <w:rsid w:val="0077714E"/>
    <w:rsid w:val="00782B46"/>
    <w:rsid w:val="0078427A"/>
    <w:rsid w:val="00795651"/>
    <w:rsid w:val="007A65C6"/>
    <w:rsid w:val="007B1C07"/>
    <w:rsid w:val="007B2386"/>
    <w:rsid w:val="007B4861"/>
    <w:rsid w:val="007B672F"/>
    <w:rsid w:val="007D0B13"/>
    <w:rsid w:val="007F20C6"/>
    <w:rsid w:val="007F2FAB"/>
    <w:rsid w:val="00801563"/>
    <w:rsid w:val="00803F70"/>
    <w:rsid w:val="00811118"/>
    <w:rsid w:val="00834086"/>
    <w:rsid w:val="00835CA6"/>
    <w:rsid w:val="00846583"/>
    <w:rsid w:val="00852C7F"/>
    <w:rsid w:val="00857A28"/>
    <w:rsid w:val="0086230B"/>
    <w:rsid w:val="008702D0"/>
    <w:rsid w:val="0087456D"/>
    <w:rsid w:val="00875049"/>
    <w:rsid w:val="008821A2"/>
    <w:rsid w:val="008854D5"/>
    <w:rsid w:val="008A2725"/>
    <w:rsid w:val="008A42DE"/>
    <w:rsid w:val="008A5654"/>
    <w:rsid w:val="008B6CFF"/>
    <w:rsid w:val="008D35F9"/>
    <w:rsid w:val="008D6025"/>
    <w:rsid w:val="008E11E4"/>
    <w:rsid w:val="008E190A"/>
    <w:rsid w:val="008E7F52"/>
    <w:rsid w:val="008F7D38"/>
    <w:rsid w:val="00900B90"/>
    <w:rsid w:val="00905281"/>
    <w:rsid w:val="00905CB6"/>
    <w:rsid w:val="0093218C"/>
    <w:rsid w:val="0093279B"/>
    <w:rsid w:val="00941D80"/>
    <w:rsid w:val="00966B3B"/>
    <w:rsid w:val="00975FD8"/>
    <w:rsid w:val="00984A98"/>
    <w:rsid w:val="009868C2"/>
    <w:rsid w:val="0099025C"/>
    <w:rsid w:val="009909B6"/>
    <w:rsid w:val="009A04D4"/>
    <w:rsid w:val="009A1C9A"/>
    <w:rsid w:val="009C25F9"/>
    <w:rsid w:val="009C3CB9"/>
    <w:rsid w:val="009D20B5"/>
    <w:rsid w:val="009D2B72"/>
    <w:rsid w:val="009D6752"/>
    <w:rsid w:val="009E39D9"/>
    <w:rsid w:val="009F0E4C"/>
    <w:rsid w:val="00A02C6F"/>
    <w:rsid w:val="00A363BC"/>
    <w:rsid w:val="00A514AA"/>
    <w:rsid w:val="00A53B9A"/>
    <w:rsid w:val="00A53D68"/>
    <w:rsid w:val="00A55D7A"/>
    <w:rsid w:val="00A571DF"/>
    <w:rsid w:val="00A72F78"/>
    <w:rsid w:val="00A82A2F"/>
    <w:rsid w:val="00A9596D"/>
    <w:rsid w:val="00AA7ECA"/>
    <w:rsid w:val="00AB0BE6"/>
    <w:rsid w:val="00AB26C3"/>
    <w:rsid w:val="00AB337C"/>
    <w:rsid w:val="00AD1668"/>
    <w:rsid w:val="00AF08F5"/>
    <w:rsid w:val="00AF3975"/>
    <w:rsid w:val="00AF4EE0"/>
    <w:rsid w:val="00B250A2"/>
    <w:rsid w:val="00B2617C"/>
    <w:rsid w:val="00B41888"/>
    <w:rsid w:val="00B601F8"/>
    <w:rsid w:val="00B74294"/>
    <w:rsid w:val="00B7596F"/>
    <w:rsid w:val="00B77E8B"/>
    <w:rsid w:val="00B83309"/>
    <w:rsid w:val="00BA75E6"/>
    <w:rsid w:val="00BB0158"/>
    <w:rsid w:val="00BB6652"/>
    <w:rsid w:val="00BC1358"/>
    <w:rsid w:val="00BC594A"/>
    <w:rsid w:val="00BD15C6"/>
    <w:rsid w:val="00BD2DC8"/>
    <w:rsid w:val="00BE1B26"/>
    <w:rsid w:val="00BF6FD3"/>
    <w:rsid w:val="00C0243C"/>
    <w:rsid w:val="00C04AD3"/>
    <w:rsid w:val="00C430EC"/>
    <w:rsid w:val="00C457F1"/>
    <w:rsid w:val="00C46DDE"/>
    <w:rsid w:val="00C46E07"/>
    <w:rsid w:val="00C51DCF"/>
    <w:rsid w:val="00C57CF9"/>
    <w:rsid w:val="00C64064"/>
    <w:rsid w:val="00C644B6"/>
    <w:rsid w:val="00C8212B"/>
    <w:rsid w:val="00C82D24"/>
    <w:rsid w:val="00C9000C"/>
    <w:rsid w:val="00C91271"/>
    <w:rsid w:val="00C97157"/>
    <w:rsid w:val="00CA1BA7"/>
    <w:rsid w:val="00CA397C"/>
    <w:rsid w:val="00CA5432"/>
    <w:rsid w:val="00CA785D"/>
    <w:rsid w:val="00CB425E"/>
    <w:rsid w:val="00CB72F2"/>
    <w:rsid w:val="00CC1799"/>
    <w:rsid w:val="00CC71A3"/>
    <w:rsid w:val="00CD2A01"/>
    <w:rsid w:val="00CD3D68"/>
    <w:rsid w:val="00CE3F59"/>
    <w:rsid w:val="00CE473C"/>
    <w:rsid w:val="00CF0CFC"/>
    <w:rsid w:val="00CF7234"/>
    <w:rsid w:val="00D175E7"/>
    <w:rsid w:val="00D327E0"/>
    <w:rsid w:val="00D378CD"/>
    <w:rsid w:val="00D45DB6"/>
    <w:rsid w:val="00D57E7B"/>
    <w:rsid w:val="00D6392A"/>
    <w:rsid w:val="00D63E55"/>
    <w:rsid w:val="00D728F6"/>
    <w:rsid w:val="00D8140D"/>
    <w:rsid w:val="00D929F9"/>
    <w:rsid w:val="00D93C5C"/>
    <w:rsid w:val="00D953A0"/>
    <w:rsid w:val="00DA3648"/>
    <w:rsid w:val="00DA3ECF"/>
    <w:rsid w:val="00DB7145"/>
    <w:rsid w:val="00DC716A"/>
    <w:rsid w:val="00E02DAF"/>
    <w:rsid w:val="00E21858"/>
    <w:rsid w:val="00E235C3"/>
    <w:rsid w:val="00E27C6C"/>
    <w:rsid w:val="00E36441"/>
    <w:rsid w:val="00E52D50"/>
    <w:rsid w:val="00E6352F"/>
    <w:rsid w:val="00E73865"/>
    <w:rsid w:val="00E761A7"/>
    <w:rsid w:val="00E82842"/>
    <w:rsid w:val="00E82CB5"/>
    <w:rsid w:val="00E92295"/>
    <w:rsid w:val="00E96272"/>
    <w:rsid w:val="00EA247F"/>
    <w:rsid w:val="00EA2B2E"/>
    <w:rsid w:val="00EB4884"/>
    <w:rsid w:val="00EB6414"/>
    <w:rsid w:val="00EC104E"/>
    <w:rsid w:val="00EC1B56"/>
    <w:rsid w:val="00EC3D86"/>
    <w:rsid w:val="00EC6833"/>
    <w:rsid w:val="00EE5411"/>
    <w:rsid w:val="00EF7E8F"/>
    <w:rsid w:val="00F07A08"/>
    <w:rsid w:val="00F07DD2"/>
    <w:rsid w:val="00F1188F"/>
    <w:rsid w:val="00F209EC"/>
    <w:rsid w:val="00F23026"/>
    <w:rsid w:val="00F23ADD"/>
    <w:rsid w:val="00F27BF4"/>
    <w:rsid w:val="00F3030A"/>
    <w:rsid w:val="00F30BB0"/>
    <w:rsid w:val="00F32716"/>
    <w:rsid w:val="00F51C31"/>
    <w:rsid w:val="00F62461"/>
    <w:rsid w:val="00F65768"/>
    <w:rsid w:val="00F82FED"/>
    <w:rsid w:val="00F871D2"/>
    <w:rsid w:val="00F9217C"/>
    <w:rsid w:val="00F95D49"/>
    <w:rsid w:val="00FB6E5A"/>
    <w:rsid w:val="00FF1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DF0B77"/>
  <w15:docId w15:val="{0483A336-9327-41AD-8E3F-07F0CAB4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BB6652"/>
    <w:pPr>
      <w:jc w:val="center"/>
    </w:pPr>
    <w:rPr>
      <w:b/>
      <w:bCs/>
      <w:sz w:val="28"/>
    </w:rPr>
  </w:style>
  <w:style w:type="character" w:customStyle="1" w:styleId="NaslovChar">
    <w:name w:val="Naslov Char"/>
    <w:basedOn w:val="Zadanifontodlomka"/>
    <w:link w:val="Naslov"/>
    <w:rsid w:val="00BB6652"/>
    <w:rPr>
      <w:rFonts w:ascii="Times New Roman" w:eastAsia="Times New Roman" w:hAnsi="Times New Roman" w:cs="Times New Roman"/>
      <w:b/>
      <w:bCs/>
      <w:sz w:val="28"/>
      <w:szCs w:val="24"/>
      <w:lang w:eastAsia="hr-HR"/>
    </w:rPr>
  </w:style>
  <w:style w:type="paragraph" w:styleId="Uvuenotijeloteksta">
    <w:name w:val="Body Text Indent"/>
    <w:basedOn w:val="Normal"/>
    <w:link w:val="UvuenotijelotekstaChar"/>
    <w:rsid w:val="00BB6652"/>
    <w:pPr>
      <w:ind w:firstLine="1496"/>
      <w:jc w:val="both"/>
    </w:pPr>
  </w:style>
  <w:style w:type="character" w:customStyle="1" w:styleId="UvuenotijelotekstaChar">
    <w:name w:val="Uvučeno tijelo teksta Char"/>
    <w:basedOn w:val="Zadanifontodlomka"/>
    <w:link w:val="Uvuenotijeloteksta"/>
    <w:rsid w:val="00BB6652"/>
    <w:rPr>
      <w:rFonts w:ascii="Times New Roman" w:eastAsia="Times New Roman" w:hAnsi="Times New Roman" w:cs="Times New Roman"/>
      <w:sz w:val="24"/>
      <w:szCs w:val="24"/>
      <w:lang w:eastAsia="hr-HR"/>
    </w:rPr>
  </w:style>
  <w:style w:type="paragraph" w:styleId="Tijeloteksta-uvlaka2">
    <w:name w:val="Body Text Indent 2"/>
    <w:basedOn w:val="Normal"/>
    <w:link w:val="Tijeloteksta-uvlaka2Char"/>
    <w:uiPriority w:val="99"/>
    <w:semiHidden/>
    <w:unhideWhenUsed/>
    <w:rsid w:val="00BB6652"/>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BB6652"/>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B6652"/>
    <w:rPr>
      <w:rFonts w:ascii="Tahoma" w:hAnsi="Tahoma" w:cs="Tahoma"/>
      <w:sz w:val="16"/>
      <w:szCs w:val="16"/>
    </w:rPr>
  </w:style>
  <w:style w:type="character" w:customStyle="1" w:styleId="TekstbaloniaChar">
    <w:name w:val="Tekst balončića Char"/>
    <w:basedOn w:val="Zadanifontodlomka"/>
    <w:link w:val="Tekstbalonia"/>
    <w:uiPriority w:val="99"/>
    <w:semiHidden/>
    <w:rsid w:val="00BB6652"/>
    <w:rPr>
      <w:rFonts w:ascii="Tahoma" w:eastAsia="Times New Roman" w:hAnsi="Tahoma" w:cs="Tahoma"/>
      <w:sz w:val="16"/>
      <w:szCs w:val="16"/>
      <w:lang w:eastAsia="hr-HR"/>
    </w:rPr>
  </w:style>
  <w:style w:type="paragraph" w:styleId="Zaglavlje">
    <w:name w:val="header"/>
    <w:basedOn w:val="Normal"/>
    <w:link w:val="ZaglavljeChar"/>
    <w:uiPriority w:val="99"/>
    <w:unhideWhenUsed/>
    <w:rsid w:val="0013017E"/>
    <w:pPr>
      <w:tabs>
        <w:tab w:val="center" w:pos="4536"/>
        <w:tab w:val="right" w:pos="9072"/>
      </w:tabs>
    </w:pPr>
  </w:style>
  <w:style w:type="character" w:customStyle="1" w:styleId="ZaglavljeChar">
    <w:name w:val="Zaglavlje Char"/>
    <w:basedOn w:val="Zadanifontodlomka"/>
    <w:link w:val="Zaglavlje"/>
    <w:uiPriority w:val="99"/>
    <w:rsid w:val="0013017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3017E"/>
    <w:pPr>
      <w:tabs>
        <w:tab w:val="center" w:pos="4536"/>
        <w:tab w:val="right" w:pos="9072"/>
      </w:tabs>
    </w:pPr>
  </w:style>
  <w:style w:type="character" w:customStyle="1" w:styleId="PodnojeChar">
    <w:name w:val="Podnožje Char"/>
    <w:basedOn w:val="Zadanifontodlomka"/>
    <w:link w:val="Podnoje"/>
    <w:uiPriority w:val="99"/>
    <w:rsid w:val="0013017E"/>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2158D"/>
    <w:pPr>
      <w:ind w:left="720"/>
      <w:contextualSpacing/>
    </w:pPr>
    <w:rPr>
      <w:lang w:eastAsia="en-US"/>
    </w:rPr>
  </w:style>
  <w:style w:type="paragraph" w:customStyle="1" w:styleId="Tijeloteksta21">
    <w:name w:val="Tijelo teksta 21"/>
    <w:basedOn w:val="Normal"/>
    <w:rsid w:val="00D728F6"/>
    <w:pPr>
      <w:overflowPunct w:val="0"/>
      <w:autoSpaceDE w:val="0"/>
      <w:autoSpaceDN w:val="0"/>
      <w:adjustRightInd w:val="0"/>
      <w:jc w:val="both"/>
      <w:textAlignment w:val="baseline"/>
    </w:pPr>
    <w:rPr>
      <w:szCs w:val="20"/>
    </w:rPr>
  </w:style>
  <w:style w:type="paragraph" w:styleId="StandardWeb">
    <w:name w:val="Normal (Web)"/>
    <w:basedOn w:val="Normal"/>
    <w:unhideWhenUsed/>
    <w:rsid w:val="008821A2"/>
  </w:style>
  <w:style w:type="paragraph" w:customStyle="1" w:styleId="Char">
    <w:name w:val="Char"/>
    <w:basedOn w:val="Normal"/>
    <w:rsid w:val="00764570"/>
    <w:pPr>
      <w:tabs>
        <w:tab w:val="num" w:pos="2126"/>
      </w:tabs>
      <w:spacing w:after="160" w:line="240" w:lineRule="exact"/>
      <w:ind w:left="2126" w:hanging="567"/>
    </w:pPr>
    <w:rPr>
      <w:szCs w:val="20"/>
      <w:lang w:val="en-US"/>
    </w:rPr>
  </w:style>
  <w:style w:type="paragraph" w:styleId="Opisslike">
    <w:name w:val="caption"/>
    <w:basedOn w:val="Normal"/>
    <w:next w:val="Normal"/>
    <w:uiPriority w:val="35"/>
    <w:unhideWhenUsed/>
    <w:qFormat/>
    <w:rsid w:val="0079565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3034">
      <w:bodyDiv w:val="1"/>
      <w:marLeft w:val="0"/>
      <w:marRight w:val="0"/>
      <w:marTop w:val="0"/>
      <w:marBottom w:val="0"/>
      <w:divBdr>
        <w:top w:val="none" w:sz="0" w:space="0" w:color="auto"/>
        <w:left w:val="none" w:sz="0" w:space="0" w:color="auto"/>
        <w:bottom w:val="none" w:sz="0" w:space="0" w:color="auto"/>
        <w:right w:val="none" w:sz="0" w:space="0" w:color="auto"/>
      </w:divBdr>
    </w:div>
    <w:div w:id="471752853">
      <w:bodyDiv w:val="1"/>
      <w:marLeft w:val="0"/>
      <w:marRight w:val="0"/>
      <w:marTop w:val="0"/>
      <w:marBottom w:val="0"/>
      <w:divBdr>
        <w:top w:val="none" w:sz="0" w:space="0" w:color="auto"/>
        <w:left w:val="none" w:sz="0" w:space="0" w:color="auto"/>
        <w:bottom w:val="none" w:sz="0" w:space="0" w:color="auto"/>
        <w:right w:val="none" w:sz="0" w:space="0" w:color="auto"/>
      </w:divBdr>
    </w:div>
    <w:div w:id="573244485">
      <w:bodyDiv w:val="1"/>
      <w:marLeft w:val="0"/>
      <w:marRight w:val="0"/>
      <w:marTop w:val="0"/>
      <w:marBottom w:val="0"/>
      <w:divBdr>
        <w:top w:val="none" w:sz="0" w:space="0" w:color="auto"/>
        <w:left w:val="none" w:sz="0" w:space="0" w:color="auto"/>
        <w:bottom w:val="none" w:sz="0" w:space="0" w:color="auto"/>
        <w:right w:val="none" w:sz="0" w:space="0" w:color="auto"/>
      </w:divBdr>
    </w:div>
    <w:div w:id="691109642">
      <w:bodyDiv w:val="1"/>
      <w:marLeft w:val="0"/>
      <w:marRight w:val="0"/>
      <w:marTop w:val="0"/>
      <w:marBottom w:val="0"/>
      <w:divBdr>
        <w:top w:val="none" w:sz="0" w:space="0" w:color="auto"/>
        <w:left w:val="none" w:sz="0" w:space="0" w:color="auto"/>
        <w:bottom w:val="none" w:sz="0" w:space="0" w:color="auto"/>
        <w:right w:val="none" w:sz="0" w:space="0" w:color="auto"/>
      </w:divBdr>
    </w:div>
    <w:div w:id="847645963">
      <w:bodyDiv w:val="1"/>
      <w:marLeft w:val="0"/>
      <w:marRight w:val="0"/>
      <w:marTop w:val="0"/>
      <w:marBottom w:val="0"/>
      <w:divBdr>
        <w:top w:val="none" w:sz="0" w:space="0" w:color="auto"/>
        <w:left w:val="none" w:sz="0" w:space="0" w:color="auto"/>
        <w:bottom w:val="none" w:sz="0" w:space="0" w:color="auto"/>
        <w:right w:val="none" w:sz="0" w:space="0" w:color="auto"/>
      </w:divBdr>
    </w:div>
    <w:div w:id="933441093">
      <w:bodyDiv w:val="1"/>
      <w:marLeft w:val="0"/>
      <w:marRight w:val="0"/>
      <w:marTop w:val="0"/>
      <w:marBottom w:val="0"/>
      <w:divBdr>
        <w:top w:val="none" w:sz="0" w:space="0" w:color="auto"/>
        <w:left w:val="none" w:sz="0" w:space="0" w:color="auto"/>
        <w:bottom w:val="none" w:sz="0" w:space="0" w:color="auto"/>
        <w:right w:val="none" w:sz="0" w:space="0" w:color="auto"/>
      </w:divBdr>
    </w:div>
    <w:div w:id="1111627977">
      <w:bodyDiv w:val="1"/>
      <w:marLeft w:val="0"/>
      <w:marRight w:val="0"/>
      <w:marTop w:val="0"/>
      <w:marBottom w:val="0"/>
      <w:divBdr>
        <w:top w:val="none" w:sz="0" w:space="0" w:color="auto"/>
        <w:left w:val="none" w:sz="0" w:space="0" w:color="auto"/>
        <w:bottom w:val="none" w:sz="0" w:space="0" w:color="auto"/>
        <w:right w:val="none" w:sz="0" w:space="0" w:color="auto"/>
      </w:divBdr>
    </w:div>
    <w:div w:id="1263490617">
      <w:bodyDiv w:val="1"/>
      <w:marLeft w:val="0"/>
      <w:marRight w:val="0"/>
      <w:marTop w:val="0"/>
      <w:marBottom w:val="0"/>
      <w:divBdr>
        <w:top w:val="none" w:sz="0" w:space="0" w:color="auto"/>
        <w:left w:val="none" w:sz="0" w:space="0" w:color="auto"/>
        <w:bottom w:val="none" w:sz="0" w:space="0" w:color="auto"/>
        <w:right w:val="none" w:sz="0" w:space="0" w:color="auto"/>
      </w:divBdr>
    </w:div>
    <w:div w:id="1667391821">
      <w:bodyDiv w:val="1"/>
      <w:marLeft w:val="0"/>
      <w:marRight w:val="0"/>
      <w:marTop w:val="0"/>
      <w:marBottom w:val="0"/>
      <w:divBdr>
        <w:top w:val="none" w:sz="0" w:space="0" w:color="auto"/>
        <w:left w:val="none" w:sz="0" w:space="0" w:color="auto"/>
        <w:bottom w:val="none" w:sz="0" w:space="0" w:color="auto"/>
        <w:right w:val="none" w:sz="0" w:space="0" w:color="auto"/>
      </w:divBdr>
    </w:div>
    <w:div w:id="181653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0699-60C4-4D99-83F4-6B91A71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1398</Words>
  <Characters>7975</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Martina Štefković</cp:lastModifiedBy>
  <cp:revision>21</cp:revision>
  <cp:lastPrinted>2021-07-29T12:13:00Z</cp:lastPrinted>
  <dcterms:created xsi:type="dcterms:W3CDTF">2021-08-24T07:32:00Z</dcterms:created>
  <dcterms:modified xsi:type="dcterms:W3CDTF">2021-09-06T10:16:00Z</dcterms:modified>
</cp:coreProperties>
</file>