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1C" w:rsidRDefault="00BA6D1C" w:rsidP="00BA6D1C">
      <w:pPr>
        <w:tabs>
          <w:tab w:val="left" w:pos="0"/>
        </w:tabs>
        <w:jc w:val="both"/>
        <w:rPr>
          <w:b/>
        </w:rPr>
      </w:pPr>
      <w:r w:rsidRPr="000A0F07">
        <w:rPr>
          <w:b/>
        </w:rPr>
        <w:t>IZVJEŠTAJ O ZADUŽIVANJU NA DOMAĆEM I STRANOM TRŽIŠTU NOVCA I KAPITALA U RAZDOBLJU 01.01.2017. - 31.12.2017.</w:t>
      </w:r>
    </w:p>
    <w:p w:rsidR="00D24D8F" w:rsidRPr="000A0F07" w:rsidRDefault="00D24D8F" w:rsidP="00BA6D1C">
      <w:pPr>
        <w:tabs>
          <w:tab w:val="left" w:pos="0"/>
        </w:tabs>
        <w:jc w:val="both"/>
        <w:rPr>
          <w:b/>
        </w:rPr>
      </w:pPr>
    </w:p>
    <w:p w:rsidR="00BA6D1C" w:rsidRPr="000A0F07" w:rsidRDefault="00BA6D1C" w:rsidP="00BA6D1C">
      <w:pPr>
        <w:jc w:val="both"/>
      </w:pPr>
    </w:p>
    <w:p w:rsidR="00BA6D1C" w:rsidRPr="000A0F07" w:rsidRDefault="00BA6D1C" w:rsidP="00BA6D1C">
      <w:pPr>
        <w:pStyle w:val="Uvuenotijeloteksta"/>
        <w:ind w:firstLine="0"/>
      </w:pPr>
      <w:r w:rsidRPr="000A0F07">
        <w:t>Hrvatski sabor je na temelju članka 29. Zakona o izvršavanju državnog proračuna Republike Hrvatske za 2017. godinu (Narodne novine, broj 119/16) i članka 3. Zakona o izmjenama i dopunama zakona o izvršavanju državnog proračuna Republike Hrvatske za 2017. godinu (Narodne novine, broj 113/17) ovlastio Ministarstvo financija Republike Hrvatske da se u ime Republike Hrvatske može zadužiti na inozemnom i domaćem tržištu novca i kapitala do ukupnog iznosa od 43.043.577.084,00 kuna iskazanog u Računu financiranja Proračuna.</w:t>
      </w:r>
    </w:p>
    <w:p w:rsidR="002F6504" w:rsidRPr="000A0F07" w:rsidRDefault="002F6504" w:rsidP="00A1020F">
      <w:pPr>
        <w:spacing w:before="240" w:line="276" w:lineRule="auto"/>
        <w:jc w:val="both"/>
      </w:pPr>
      <w:r w:rsidRPr="000A0F07">
        <w:t>Stanje obveza za vrijednosne papire, kredite i zajmove državnog proračuna na početku i na kraju proračunske godine dano je u tablici</w:t>
      </w:r>
      <w:r w:rsidR="000B0891" w:rsidRPr="000A0F07">
        <w:t xml:space="preserve"> </w:t>
      </w:r>
      <w:r w:rsidR="00283E28">
        <w:t>7</w:t>
      </w:r>
      <w:r w:rsidR="000B0891" w:rsidRPr="000A0F07">
        <w:t>.</w:t>
      </w:r>
      <w:r w:rsidRPr="000A0F07">
        <w:t xml:space="preserve"> Stanje obveza na dan 31.12.2016. i 31.12.2017</w:t>
      </w:r>
      <w:r w:rsidR="00CC76B7" w:rsidRPr="000A0F07">
        <w:t>.</w:t>
      </w:r>
      <w:r w:rsidRPr="000A0F07">
        <w:t xml:space="preserve">, a u tablici </w:t>
      </w:r>
      <w:r w:rsidR="00283E28">
        <w:t>6</w:t>
      </w:r>
      <w:r w:rsidR="000B0891" w:rsidRPr="000A0F07">
        <w:t xml:space="preserve">. </w:t>
      </w:r>
      <w:r w:rsidRPr="000A0F07">
        <w:t xml:space="preserve">Projekcije otplata državnog duga dane su projekcije otplata glavnica državnog duga prema oblicima zaduženja u razdoblju </w:t>
      </w:r>
      <w:r w:rsidR="00CC76B7" w:rsidRPr="000A0F07">
        <w:t xml:space="preserve">od </w:t>
      </w:r>
      <w:r w:rsidRPr="000A0F07">
        <w:t>2018</w:t>
      </w:r>
      <w:r w:rsidR="00CC76B7" w:rsidRPr="000A0F07">
        <w:t>. do</w:t>
      </w:r>
      <w:r w:rsidRPr="000A0F07">
        <w:t xml:space="preserve"> 20</w:t>
      </w:r>
      <w:r w:rsidR="005E70CF" w:rsidRPr="000A0F07">
        <w:t>28</w:t>
      </w:r>
      <w:r w:rsidR="00A1020F" w:rsidRPr="000A0F07">
        <w:t>. godine.</w:t>
      </w:r>
    </w:p>
    <w:p w:rsidR="002F6504" w:rsidRPr="000A0F07" w:rsidRDefault="002F6504" w:rsidP="00C075DE">
      <w:pPr>
        <w:rPr>
          <w:b/>
          <w:u w:val="single"/>
        </w:rPr>
      </w:pPr>
    </w:p>
    <w:p w:rsidR="00E369A9" w:rsidRPr="000A0F07" w:rsidRDefault="002F6504" w:rsidP="00C83AB5">
      <w:pPr>
        <w:pStyle w:val="Odlomakpopisa"/>
        <w:numPr>
          <w:ilvl w:val="0"/>
          <w:numId w:val="5"/>
        </w:numPr>
        <w:rPr>
          <w:b/>
          <w:i/>
        </w:rPr>
      </w:pPr>
      <w:r w:rsidRPr="000A0F07">
        <w:rPr>
          <w:b/>
          <w:i/>
        </w:rPr>
        <w:t>Obveznice uz plasman na domaćem tržištu kapitala</w:t>
      </w:r>
      <w:r w:rsidR="00E369A9" w:rsidRPr="000A0F07">
        <w:rPr>
          <w:b/>
          <w:i/>
        </w:rPr>
        <w:t xml:space="preserve"> </w:t>
      </w:r>
    </w:p>
    <w:p w:rsidR="00E369A9" w:rsidRPr="000A0F07" w:rsidRDefault="00E369A9" w:rsidP="00E369A9">
      <w:pPr>
        <w:ind w:left="720"/>
        <w:rPr>
          <w:b/>
        </w:rPr>
      </w:pPr>
      <w:bookmarkStart w:id="0" w:name="_GoBack"/>
      <w:bookmarkEnd w:id="0"/>
    </w:p>
    <w:p w:rsidR="00E369A9" w:rsidRPr="000A0F07" w:rsidRDefault="00E369A9" w:rsidP="00E369A9">
      <w:pPr>
        <w:jc w:val="both"/>
      </w:pPr>
      <w:r w:rsidRPr="000A0F07">
        <w:t xml:space="preserve">Radi izvršenja izdataka utvrđenih Zakonom o izvršavanju državnog proračuna Republike Hrvatske za 2017. godinu, Republika Hrvatska se u veljači zadužila izdavanjem </w:t>
      </w:r>
      <w:r w:rsidR="00D47176" w:rsidRPr="000A0F07">
        <w:t xml:space="preserve">dviju </w:t>
      </w:r>
      <w:r w:rsidRPr="000A0F07">
        <w:t>obveznica uz plasman na domaćem tržištu kapitala</w:t>
      </w:r>
      <w:r w:rsidR="00D47176" w:rsidRPr="000A0F07">
        <w:t xml:space="preserve">. Obveznice </w:t>
      </w:r>
      <w:r w:rsidRPr="000A0F07">
        <w:t xml:space="preserve"> u iznosu od 5</w:t>
      </w:r>
      <w:r w:rsidR="00D47176" w:rsidRPr="000A0F07">
        <w:t>,</w:t>
      </w:r>
      <w:proofErr w:type="spellStart"/>
      <w:r w:rsidR="00D47176" w:rsidRPr="000A0F07">
        <w:t>5</w:t>
      </w:r>
      <w:proofErr w:type="spellEnd"/>
      <w:r w:rsidR="00D47176" w:rsidRPr="000A0F07">
        <w:t xml:space="preserve"> milijardi kuna izdane su </w:t>
      </w:r>
      <w:r w:rsidR="00DE18A3" w:rsidRPr="000A0F07">
        <w:t xml:space="preserve">s </w:t>
      </w:r>
      <w:r w:rsidR="00D47176" w:rsidRPr="000A0F07">
        <w:t>dospijećem 7. veljače 2028</w:t>
      </w:r>
      <w:r w:rsidR="00CC76B7" w:rsidRPr="000A0F07">
        <w:t>.</w:t>
      </w:r>
      <w:r w:rsidRPr="000A0F07">
        <w:t xml:space="preserve"> po cijeni 98,008% nominalnog iznosa</w:t>
      </w:r>
      <w:r w:rsidR="00CC76B7" w:rsidRPr="000A0F07">
        <w:t xml:space="preserve"> uz </w:t>
      </w:r>
      <w:r w:rsidR="00D47176" w:rsidRPr="000A0F07">
        <w:t>nepromjenjivi k</w:t>
      </w:r>
      <w:r w:rsidRPr="000A0F07">
        <w:t>amatni kupon</w:t>
      </w:r>
      <w:r w:rsidR="00D47176" w:rsidRPr="000A0F07">
        <w:t xml:space="preserve"> od</w:t>
      </w:r>
      <w:r w:rsidRPr="000A0F07">
        <w:t xml:space="preserve"> 2,875% godišnje. </w:t>
      </w:r>
      <w:r w:rsidR="00D47176" w:rsidRPr="000A0F07">
        <w:t>Obveznice u</w:t>
      </w:r>
      <w:r w:rsidRPr="000A0F07">
        <w:t xml:space="preserve"> iznosu od </w:t>
      </w:r>
      <w:r w:rsidR="00D47176" w:rsidRPr="000A0F07">
        <w:t xml:space="preserve">3 milijarde kuna izdane su s dospijećem </w:t>
      </w:r>
      <w:r w:rsidR="00CC76B7" w:rsidRPr="000A0F07">
        <w:t>7. veljače 2022.</w:t>
      </w:r>
      <w:r w:rsidRPr="000A0F07">
        <w:t xml:space="preserve"> po cijeni 99,812% nominalnog iznosa</w:t>
      </w:r>
      <w:r w:rsidR="00CC76B7" w:rsidRPr="000A0F07">
        <w:t xml:space="preserve"> uz </w:t>
      </w:r>
      <w:r w:rsidR="00D47176" w:rsidRPr="000A0F07">
        <w:t>nepromjenjivi k</w:t>
      </w:r>
      <w:r w:rsidRPr="000A0F07">
        <w:t>amatni kupon</w:t>
      </w:r>
      <w:r w:rsidR="00D47176" w:rsidRPr="000A0F07">
        <w:t xml:space="preserve"> od</w:t>
      </w:r>
      <w:r w:rsidRPr="000A0F07">
        <w:t xml:space="preserve"> 2,25% godišnje. </w:t>
      </w:r>
    </w:p>
    <w:p w:rsidR="00D47176" w:rsidRPr="000A0F07" w:rsidRDefault="00D47176" w:rsidP="00E369A9">
      <w:pPr>
        <w:jc w:val="both"/>
      </w:pPr>
    </w:p>
    <w:p w:rsidR="00D47176" w:rsidRPr="000A0F07" w:rsidRDefault="00D47176" w:rsidP="00D47176">
      <w:pPr>
        <w:jc w:val="both"/>
      </w:pPr>
      <w:r w:rsidRPr="000A0F07">
        <w:t>U veljači 2017. godine dospjelo je i iskupljeno 5,</w:t>
      </w:r>
      <w:proofErr w:type="spellStart"/>
      <w:r w:rsidRPr="000A0F07">
        <w:t>5</w:t>
      </w:r>
      <w:proofErr w:type="spellEnd"/>
      <w:r w:rsidRPr="000A0F07">
        <w:t xml:space="preserve"> milijardi kuna desetogodišnjih obveznica izdanih 8. veljače 2007. </w:t>
      </w:r>
      <w:r w:rsidR="005E70CF" w:rsidRPr="000A0F07">
        <w:t xml:space="preserve">godine </w:t>
      </w:r>
      <w:r w:rsidRPr="000A0F07">
        <w:t>uz kupon od 4,75%.</w:t>
      </w:r>
    </w:p>
    <w:p w:rsidR="00E369A9" w:rsidRPr="000A0F07" w:rsidRDefault="00E369A9" w:rsidP="00E369A9">
      <w:pPr>
        <w:tabs>
          <w:tab w:val="left" w:pos="360"/>
        </w:tabs>
        <w:rPr>
          <w:b/>
        </w:rPr>
      </w:pPr>
    </w:p>
    <w:p w:rsidR="00E369A9" w:rsidRPr="000A0F07" w:rsidRDefault="00E369A9" w:rsidP="00E369A9">
      <w:pPr>
        <w:jc w:val="both"/>
      </w:pPr>
      <w:r w:rsidRPr="000A0F07">
        <w:t>Republika Hrvatska se u srpnju zadužila izdavanjem obveznica uz plasman na domaćem tržištu kapitala u iznosu od 3</w:t>
      </w:r>
      <w:r w:rsidR="00DE18A3" w:rsidRPr="000A0F07">
        <w:t xml:space="preserve"> milijarde</w:t>
      </w:r>
      <w:r w:rsidRPr="000A0F07">
        <w:t xml:space="preserve"> kuna</w:t>
      </w:r>
      <w:r w:rsidR="00DE18A3" w:rsidRPr="000A0F07">
        <w:t xml:space="preserve"> s dospijećem 7. srpnja 2032. Te su obveznice</w:t>
      </w:r>
      <w:r w:rsidRPr="000A0F07">
        <w:t xml:space="preserve"> indeksiran</w:t>
      </w:r>
      <w:r w:rsidR="00DE18A3" w:rsidRPr="000A0F07">
        <w:t>e</w:t>
      </w:r>
      <w:r w:rsidRPr="000A0F07">
        <w:t xml:space="preserve"> na </w:t>
      </w:r>
      <w:r w:rsidR="00DE18A3" w:rsidRPr="000A0F07">
        <w:t xml:space="preserve">kretanje tečaja kune prema euru. </w:t>
      </w:r>
      <w:r w:rsidRPr="000A0F07">
        <w:t>Obveznice su izdane po cijeni 99,412%</w:t>
      </w:r>
      <w:r w:rsidR="00CC76B7" w:rsidRPr="000A0F07">
        <w:t xml:space="preserve"> nominalnog iznosa uz </w:t>
      </w:r>
      <w:r w:rsidR="00DE18A3" w:rsidRPr="000A0F07">
        <w:t>nepromjenjivi kamatni kupon od</w:t>
      </w:r>
      <w:r w:rsidRPr="000A0F07">
        <w:t xml:space="preserve"> 3,25% godišnje, </w:t>
      </w:r>
      <w:r w:rsidR="00CC76B7" w:rsidRPr="000A0F07">
        <w:t>što čini prinos</w:t>
      </w:r>
      <w:r w:rsidRPr="000A0F07">
        <w:t xml:space="preserve"> do dospijeća od 3,30%.</w:t>
      </w:r>
    </w:p>
    <w:p w:rsidR="00E369A9" w:rsidRPr="000A0F07" w:rsidRDefault="00E369A9" w:rsidP="009B0A2C">
      <w:pPr>
        <w:ind w:firstLine="708"/>
        <w:rPr>
          <w:b/>
        </w:rPr>
      </w:pPr>
    </w:p>
    <w:p w:rsidR="00E369A9" w:rsidRPr="000A0F07" w:rsidRDefault="00E369A9" w:rsidP="00E369A9">
      <w:pPr>
        <w:jc w:val="both"/>
        <w:rPr>
          <w:b/>
        </w:rPr>
      </w:pPr>
      <w:r w:rsidRPr="000A0F07">
        <w:t xml:space="preserve">Republika Hrvatska </w:t>
      </w:r>
      <w:r w:rsidR="00CC76B7" w:rsidRPr="000A0F07">
        <w:t>se</w:t>
      </w:r>
      <w:r w:rsidR="00DE18A3" w:rsidRPr="000A0F07">
        <w:t xml:space="preserve"> uz plasman na domaćem tržištu kapitala u </w:t>
      </w:r>
      <w:r w:rsidRPr="000A0F07">
        <w:t xml:space="preserve">studenom zadužila izdavanjem obveznica u iznosu od </w:t>
      </w:r>
      <w:r w:rsidR="00AE06D4" w:rsidRPr="000A0F07">
        <w:t>5,8 milijardi</w:t>
      </w:r>
      <w:r w:rsidRPr="000A0F07">
        <w:rPr>
          <w:b/>
        </w:rPr>
        <w:t xml:space="preserve"> </w:t>
      </w:r>
      <w:r w:rsidRPr="000A0F07">
        <w:t>kuna</w:t>
      </w:r>
      <w:r w:rsidR="00AE06D4" w:rsidRPr="000A0F07">
        <w:rPr>
          <w:b/>
        </w:rPr>
        <w:t xml:space="preserve"> </w:t>
      </w:r>
      <w:r w:rsidR="00AE06D4" w:rsidRPr="000A0F07">
        <w:t>s dospijećem 27. studenog 2023</w:t>
      </w:r>
      <w:r w:rsidR="009B0A2C" w:rsidRPr="000A0F07">
        <w:t>.</w:t>
      </w:r>
      <w:r w:rsidR="009B0A2C" w:rsidRPr="000A0F07">
        <w:rPr>
          <w:b/>
        </w:rPr>
        <w:t xml:space="preserve"> </w:t>
      </w:r>
      <w:r w:rsidRPr="000A0F07">
        <w:t>Obveznice su izdane po cijeni 99,717%</w:t>
      </w:r>
      <w:r w:rsidR="009B0A2C" w:rsidRPr="000A0F07">
        <w:t xml:space="preserve"> nominalnog iznosa</w:t>
      </w:r>
      <w:r w:rsidR="00AE06D4" w:rsidRPr="000A0F07">
        <w:t xml:space="preserve"> uz nepromjenjivi k</w:t>
      </w:r>
      <w:r w:rsidRPr="000A0F07">
        <w:t xml:space="preserve">amatni kupon </w:t>
      </w:r>
      <w:r w:rsidR="00AE06D4" w:rsidRPr="000A0F07">
        <w:t xml:space="preserve">od </w:t>
      </w:r>
      <w:r w:rsidRPr="000A0F07">
        <w:t xml:space="preserve"> 1,75% godišnje.</w:t>
      </w:r>
    </w:p>
    <w:p w:rsidR="00FF556F" w:rsidRPr="000A0F07" w:rsidRDefault="00FF556F" w:rsidP="00E369A9">
      <w:pPr>
        <w:jc w:val="both"/>
      </w:pPr>
    </w:p>
    <w:p w:rsidR="00E369A9" w:rsidRPr="000A0F07" w:rsidRDefault="00CC76B7" w:rsidP="00E369A9">
      <w:pPr>
        <w:jc w:val="both"/>
      </w:pPr>
      <w:r w:rsidRPr="000A0F07">
        <w:t>25. studenoga</w:t>
      </w:r>
      <w:r w:rsidR="00E369A9" w:rsidRPr="000A0F07">
        <w:t xml:space="preserve"> 2017. dospjelo je i iskupljeno 4 milijarde kuna sedmogodišnjih obveznica izdanih 25. studenoga 2010.</w:t>
      </w:r>
      <w:r w:rsidR="005E70CF" w:rsidRPr="000A0F07">
        <w:t xml:space="preserve"> godine</w:t>
      </w:r>
      <w:r w:rsidR="00E369A9" w:rsidRPr="000A0F07">
        <w:t xml:space="preserve"> uz kupon 6,25%.</w:t>
      </w:r>
    </w:p>
    <w:p w:rsidR="00BA6D1C" w:rsidRPr="000A0F07" w:rsidRDefault="00BA6D1C" w:rsidP="00E369A9">
      <w:pPr>
        <w:jc w:val="both"/>
      </w:pPr>
    </w:p>
    <w:p w:rsidR="00D96C08" w:rsidRPr="000A0F07" w:rsidRDefault="003C1F07" w:rsidP="00C83AB5">
      <w:pPr>
        <w:pStyle w:val="Odlomakpopisa"/>
        <w:numPr>
          <w:ilvl w:val="0"/>
          <w:numId w:val="5"/>
        </w:numPr>
        <w:spacing w:after="200" w:line="360" w:lineRule="auto"/>
        <w:jc w:val="both"/>
        <w:rPr>
          <w:b/>
          <w:i/>
        </w:rPr>
      </w:pPr>
      <w:proofErr w:type="spellStart"/>
      <w:r w:rsidRPr="000A0F07">
        <w:rPr>
          <w:b/>
          <w:i/>
        </w:rPr>
        <w:t>Euroobveznice</w:t>
      </w:r>
      <w:proofErr w:type="spellEnd"/>
      <w:r w:rsidRPr="000A0F07">
        <w:rPr>
          <w:b/>
          <w:i/>
        </w:rPr>
        <w:t xml:space="preserve"> na međunarodnom tržištu</w:t>
      </w:r>
    </w:p>
    <w:p w:rsidR="00C075DE" w:rsidRPr="000A0F07" w:rsidRDefault="00C075DE" w:rsidP="00C075DE">
      <w:pPr>
        <w:jc w:val="both"/>
      </w:pPr>
      <w:r w:rsidRPr="000A0F07">
        <w:t xml:space="preserve">Republika Hrvatska se u ožujku zadužila na međunarodnom financijskom tržištu izdavanjem </w:t>
      </w:r>
      <w:proofErr w:type="spellStart"/>
      <w:r w:rsidRPr="000A0F07">
        <w:t>euroobveznica</w:t>
      </w:r>
      <w:proofErr w:type="spellEnd"/>
      <w:r w:rsidRPr="000A0F07">
        <w:t xml:space="preserve"> u iznosu od </w:t>
      </w:r>
      <w:r w:rsidR="003C1F07" w:rsidRPr="000A0F07">
        <w:t xml:space="preserve">1,25 milijarde </w:t>
      </w:r>
      <w:r w:rsidRPr="000A0F07">
        <w:t>eura</w:t>
      </w:r>
      <w:r w:rsidRPr="000A0F07">
        <w:rPr>
          <w:b/>
        </w:rPr>
        <w:t>.</w:t>
      </w:r>
      <w:r w:rsidRPr="000A0F07">
        <w:t xml:space="preserve"> Obveznice su izdane po cijeni od 98,320% nominalnog iznosa</w:t>
      </w:r>
      <w:r w:rsidR="003C1F07" w:rsidRPr="000A0F07">
        <w:t xml:space="preserve"> uz nepromjenjivi ka</w:t>
      </w:r>
      <w:r w:rsidRPr="000A0F07">
        <w:t xml:space="preserve">matni kupon </w:t>
      </w:r>
      <w:r w:rsidR="003C1F07" w:rsidRPr="000A0F07">
        <w:t>od</w:t>
      </w:r>
      <w:r w:rsidRPr="000A0F07">
        <w:t xml:space="preserve"> 3%</w:t>
      </w:r>
      <w:r w:rsidRPr="000A0F07">
        <w:rPr>
          <w:b/>
        </w:rPr>
        <w:t xml:space="preserve"> </w:t>
      </w:r>
      <w:r w:rsidRPr="000A0F07">
        <w:t>godišnje</w:t>
      </w:r>
      <w:r w:rsidR="001D6CBB" w:rsidRPr="000A0F07">
        <w:t>,</w:t>
      </w:r>
      <w:r w:rsidR="003C1F07" w:rsidRPr="000A0F07">
        <w:t xml:space="preserve"> što čini</w:t>
      </w:r>
      <w:r w:rsidRPr="000A0F07">
        <w:t xml:space="preserve"> prinos do dospijeća od 3,199%. Obveznice su uplaćene 20. ožujka 2017., a datum dospijeća obveznica je 20. ožujka 2027. </w:t>
      </w:r>
    </w:p>
    <w:p w:rsidR="00C075DE" w:rsidRPr="000A0F07" w:rsidRDefault="00C075DE" w:rsidP="00C075DE">
      <w:pPr>
        <w:jc w:val="both"/>
        <w:rPr>
          <w:b/>
        </w:rPr>
      </w:pPr>
    </w:p>
    <w:p w:rsidR="00C075DE" w:rsidRPr="000A0F07" w:rsidRDefault="00C075DE" w:rsidP="00C075DE">
      <w:pPr>
        <w:jc w:val="both"/>
      </w:pPr>
      <w:r w:rsidRPr="000A0F07">
        <w:t>U travnju 2017. godine dospjelo je i iskupljeno 1,5 milijardi USD</w:t>
      </w:r>
      <w:r w:rsidRPr="000A0F07">
        <w:rPr>
          <w:b/>
        </w:rPr>
        <w:t xml:space="preserve"> </w:t>
      </w:r>
      <w:r w:rsidRPr="000A0F07">
        <w:t>petogodišnjih obveznica izdanih 27. travnja 2012</w:t>
      </w:r>
      <w:r w:rsidR="009B0A2C" w:rsidRPr="000A0F07">
        <w:t xml:space="preserve">. </w:t>
      </w:r>
      <w:r w:rsidR="005E70CF" w:rsidRPr="000A0F07">
        <w:t xml:space="preserve">godine </w:t>
      </w:r>
      <w:r w:rsidRPr="000A0F07">
        <w:t>uz godišnji kupon 6,25%.</w:t>
      </w:r>
      <w:r w:rsidRPr="000A0F07">
        <w:rPr>
          <w:b/>
        </w:rPr>
        <w:t xml:space="preserve"> </w:t>
      </w:r>
      <w:r w:rsidRPr="000A0F07">
        <w:t>Radi zaštite od međuvalutnih teč</w:t>
      </w:r>
      <w:r w:rsidR="001D6CBB" w:rsidRPr="000A0F07">
        <w:t>ajnih promjena, uplate i</w:t>
      </w:r>
      <w:r w:rsidRPr="000A0F07">
        <w:t xml:space="preserve"> sve isplate kamata i glavnice tih obveznica konvertirane su u euro prema fiksnom tečaju 1,3110 USD za 1 euro.</w:t>
      </w:r>
    </w:p>
    <w:p w:rsidR="00C075DE" w:rsidRPr="000A0F07" w:rsidRDefault="00C075DE" w:rsidP="00C075DE">
      <w:pPr>
        <w:jc w:val="both"/>
      </w:pPr>
    </w:p>
    <w:p w:rsidR="00C075DE" w:rsidRPr="000A0F07" w:rsidRDefault="009B0A2C" w:rsidP="00C075DE">
      <w:pPr>
        <w:jc w:val="both"/>
      </w:pPr>
      <w:r w:rsidRPr="000A0F07">
        <w:t xml:space="preserve">23. studenog 2017. </w:t>
      </w:r>
      <w:r w:rsidR="00C075DE" w:rsidRPr="000A0F07">
        <w:t xml:space="preserve">Vlada Republike Hrvatske je donijela Odluku o izdavanju </w:t>
      </w:r>
      <w:proofErr w:type="spellStart"/>
      <w:r w:rsidR="00C075DE" w:rsidRPr="000A0F07">
        <w:t>euroobveznica</w:t>
      </w:r>
      <w:proofErr w:type="spellEnd"/>
      <w:r w:rsidR="00C075DE" w:rsidRPr="000A0F07">
        <w:t xml:space="preserve"> u iznosu </w:t>
      </w:r>
      <w:r w:rsidRPr="000A0F07">
        <w:t>od</w:t>
      </w:r>
      <w:r w:rsidR="00C075DE" w:rsidRPr="000A0F07">
        <w:t xml:space="preserve"> 1</w:t>
      </w:r>
      <w:r w:rsidR="003C1F07" w:rsidRPr="000A0F07">
        <w:t>,</w:t>
      </w:r>
      <w:r w:rsidR="00C075DE" w:rsidRPr="000A0F07">
        <w:t>275</w:t>
      </w:r>
      <w:r w:rsidR="003C1F07" w:rsidRPr="000A0F07">
        <w:t xml:space="preserve"> milijarde </w:t>
      </w:r>
      <w:r w:rsidR="00C075DE" w:rsidRPr="000A0F07">
        <w:t>eura</w:t>
      </w:r>
      <w:r w:rsidR="00C075DE" w:rsidRPr="000A0F07">
        <w:rPr>
          <w:b/>
        </w:rPr>
        <w:t>.</w:t>
      </w:r>
      <w:r w:rsidR="00C075DE" w:rsidRPr="000A0F07">
        <w:t xml:space="preserve"> Obveznice su izdane po cijeni od 97,883% nominalnog iznosa. Kamatni kupon je nepromjenjiv i iznosi 2,75% godišnje, uz prinos do dospijeća od 2,953%. Obveznice su uplaćene 27. studenoga 2017</w:t>
      </w:r>
      <w:r w:rsidRPr="000A0F07">
        <w:t xml:space="preserve">., </w:t>
      </w:r>
      <w:r w:rsidR="00C075DE" w:rsidRPr="000A0F07">
        <w:t>kamata po obveznicama isplaćivat će se jednom godišnje počev</w:t>
      </w:r>
      <w:r w:rsidR="001D6CBB" w:rsidRPr="000A0F07">
        <w:t>ši od 27. siječnja 2019.</w:t>
      </w:r>
      <w:r w:rsidR="00C075DE" w:rsidRPr="000A0F07">
        <w:t xml:space="preserve">, a glavnica će se u cijelosti  isplatiti po dospijeću 27. siječnja 2030. </w:t>
      </w:r>
    </w:p>
    <w:p w:rsidR="00C075DE" w:rsidRPr="000A0F07" w:rsidRDefault="00C075DE" w:rsidP="00C075DE">
      <w:pPr>
        <w:jc w:val="both"/>
      </w:pPr>
      <w:r w:rsidRPr="000A0F07">
        <w:rPr>
          <w:bCs/>
        </w:rPr>
        <w:t>Sredstva ostvarena zaduženjem doznačila su se društvima Hrvatske ceste d</w:t>
      </w:r>
      <w:r w:rsidR="009B0A2C" w:rsidRPr="000A0F07">
        <w:rPr>
          <w:bCs/>
        </w:rPr>
        <w:t>.</w:t>
      </w:r>
      <w:r w:rsidRPr="000A0F07">
        <w:rPr>
          <w:bCs/>
        </w:rPr>
        <w:t>o</w:t>
      </w:r>
      <w:r w:rsidR="009B0A2C" w:rsidRPr="000A0F07">
        <w:rPr>
          <w:bCs/>
        </w:rPr>
        <w:t>.</w:t>
      </w:r>
      <w:r w:rsidRPr="000A0F07">
        <w:rPr>
          <w:bCs/>
        </w:rPr>
        <w:t>o</w:t>
      </w:r>
      <w:r w:rsidR="009B0A2C" w:rsidRPr="000A0F07">
        <w:rPr>
          <w:bCs/>
        </w:rPr>
        <w:t>.</w:t>
      </w:r>
      <w:r w:rsidRPr="000A0F07">
        <w:rPr>
          <w:bCs/>
        </w:rPr>
        <w:t>, Hrvatske autoceste d</w:t>
      </w:r>
      <w:r w:rsidR="009B0A2C" w:rsidRPr="000A0F07">
        <w:rPr>
          <w:bCs/>
        </w:rPr>
        <w:t>.</w:t>
      </w:r>
      <w:r w:rsidRPr="000A0F07">
        <w:rPr>
          <w:bCs/>
        </w:rPr>
        <w:t>o</w:t>
      </w:r>
      <w:r w:rsidR="009B0A2C" w:rsidRPr="000A0F07">
        <w:rPr>
          <w:bCs/>
        </w:rPr>
        <w:t>.</w:t>
      </w:r>
      <w:r w:rsidRPr="000A0F07">
        <w:rPr>
          <w:bCs/>
        </w:rPr>
        <w:t>o</w:t>
      </w:r>
      <w:r w:rsidR="009B0A2C" w:rsidRPr="000A0F07">
        <w:rPr>
          <w:bCs/>
        </w:rPr>
        <w:t>.</w:t>
      </w:r>
      <w:r w:rsidRPr="000A0F07">
        <w:rPr>
          <w:bCs/>
        </w:rPr>
        <w:t xml:space="preserve">  i  Autocesta Rijeka-Zagreb d.d. u svrhu otplata i  refinanciranja postojećih obveza društava osiguranih državnim jamstvima te kratkoročnih kreditnih obveza. Ministarstvo financija ugovorima s društvima utvrdilo je korištenje sredstava i međusobna prava i obveze.</w:t>
      </w:r>
    </w:p>
    <w:p w:rsidR="00C075DE" w:rsidRDefault="00C075DE" w:rsidP="00C075DE">
      <w:pPr>
        <w:jc w:val="both"/>
      </w:pPr>
    </w:p>
    <w:p w:rsidR="00FC0425" w:rsidRPr="00FC0425" w:rsidRDefault="00FC0425" w:rsidP="00FC0425">
      <w:pPr>
        <w:pStyle w:val="Opisslike"/>
        <w:keepNext/>
        <w:rPr>
          <w:b w:val="0"/>
          <w:i/>
          <w:color w:val="auto"/>
          <w:sz w:val="24"/>
          <w:szCs w:val="24"/>
        </w:rPr>
      </w:pPr>
      <w:r w:rsidRPr="00FC0425">
        <w:rPr>
          <w:b w:val="0"/>
          <w:i/>
          <w:color w:val="auto"/>
          <w:sz w:val="24"/>
          <w:szCs w:val="24"/>
        </w:rPr>
        <w:t xml:space="preserve">Tablica </w:t>
      </w:r>
      <w:r w:rsidRPr="00FC0425">
        <w:rPr>
          <w:b w:val="0"/>
          <w:i/>
          <w:color w:val="auto"/>
          <w:sz w:val="24"/>
          <w:szCs w:val="24"/>
        </w:rPr>
        <w:fldChar w:fldCharType="begin"/>
      </w:r>
      <w:r w:rsidRPr="00FC0425">
        <w:rPr>
          <w:b w:val="0"/>
          <w:i/>
          <w:color w:val="auto"/>
          <w:sz w:val="24"/>
          <w:szCs w:val="24"/>
        </w:rPr>
        <w:instrText xml:space="preserve"> SEQ Tablica \* ARABIC </w:instrText>
      </w:r>
      <w:r w:rsidRPr="00FC0425">
        <w:rPr>
          <w:b w:val="0"/>
          <w:i/>
          <w:color w:val="auto"/>
          <w:sz w:val="24"/>
          <w:szCs w:val="24"/>
        </w:rPr>
        <w:fldChar w:fldCharType="separate"/>
      </w:r>
      <w:r w:rsidR="00E94121">
        <w:rPr>
          <w:b w:val="0"/>
          <w:i/>
          <w:noProof/>
          <w:color w:val="auto"/>
          <w:sz w:val="24"/>
          <w:szCs w:val="24"/>
        </w:rPr>
        <w:t>1</w:t>
      </w:r>
      <w:r w:rsidRPr="00FC0425">
        <w:rPr>
          <w:b w:val="0"/>
          <w:i/>
          <w:color w:val="auto"/>
          <w:sz w:val="24"/>
          <w:szCs w:val="24"/>
        </w:rPr>
        <w:fldChar w:fldCharType="end"/>
      </w:r>
      <w:r w:rsidRPr="00FC0425">
        <w:rPr>
          <w:b w:val="0"/>
          <w:i/>
          <w:color w:val="auto"/>
          <w:sz w:val="24"/>
          <w:szCs w:val="24"/>
        </w:rPr>
        <w:t xml:space="preserve">. Potraživanja po zajmovima danim HC, HAC, ARZ, temeljem ugovora o prijenosu sredstava, </w:t>
      </w:r>
      <w:r>
        <w:rPr>
          <w:b w:val="0"/>
          <w:i/>
          <w:color w:val="auto"/>
          <w:sz w:val="24"/>
          <w:szCs w:val="24"/>
        </w:rPr>
        <w:t xml:space="preserve">stanje </w:t>
      </w:r>
      <w:r w:rsidRPr="00FC0425">
        <w:rPr>
          <w:b w:val="0"/>
          <w:i/>
          <w:color w:val="auto"/>
          <w:sz w:val="24"/>
          <w:szCs w:val="24"/>
        </w:rPr>
        <w:t>31. prosinca 2017.</w:t>
      </w:r>
    </w:p>
    <w:tbl>
      <w:tblPr>
        <w:tblW w:w="6543" w:type="dxa"/>
        <w:tblInd w:w="1267" w:type="dxa"/>
        <w:tblLook w:val="04A0" w:firstRow="1" w:lastRow="0" w:firstColumn="1" w:lastColumn="0" w:noHBand="0" w:noVBand="1"/>
      </w:tblPr>
      <w:tblGrid>
        <w:gridCol w:w="2574"/>
        <w:gridCol w:w="1985"/>
        <w:gridCol w:w="1984"/>
      </w:tblGrid>
      <w:tr w:rsidR="000A4E75" w:rsidRPr="00FC0425" w:rsidTr="000A4E75">
        <w:trPr>
          <w:trHeight w:val="570"/>
        </w:trPr>
        <w:tc>
          <w:tcPr>
            <w:tcW w:w="257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A4E75" w:rsidRPr="00FC0425" w:rsidRDefault="000A4E75" w:rsidP="00FC0425">
            <w:pPr>
              <w:jc w:val="center"/>
              <w:rPr>
                <w:b/>
                <w:bCs/>
                <w:sz w:val="18"/>
                <w:szCs w:val="18"/>
              </w:rPr>
            </w:pPr>
            <w:r w:rsidRPr="00FC0425">
              <w:rPr>
                <w:b/>
                <w:bCs/>
                <w:sz w:val="18"/>
                <w:szCs w:val="18"/>
              </w:rPr>
              <w:t>Dužnik</w:t>
            </w:r>
          </w:p>
        </w:tc>
        <w:tc>
          <w:tcPr>
            <w:tcW w:w="1985" w:type="dxa"/>
            <w:tcBorders>
              <w:top w:val="single" w:sz="8" w:space="0" w:color="auto"/>
              <w:left w:val="nil"/>
              <w:bottom w:val="single" w:sz="4" w:space="0" w:color="auto"/>
              <w:right w:val="nil"/>
            </w:tcBorders>
            <w:shd w:val="clear" w:color="auto" w:fill="auto"/>
            <w:vAlign w:val="center"/>
            <w:hideMark/>
          </w:tcPr>
          <w:p w:rsidR="000A4E75" w:rsidRDefault="000A4E75" w:rsidP="00FC0425">
            <w:pPr>
              <w:jc w:val="center"/>
              <w:rPr>
                <w:b/>
                <w:bCs/>
                <w:sz w:val="18"/>
                <w:szCs w:val="18"/>
              </w:rPr>
            </w:pPr>
            <w:r w:rsidRPr="00FC0425">
              <w:rPr>
                <w:b/>
                <w:bCs/>
                <w:sz w:val="18"/>
                <w:szCs w:val="18"/>
              </w:rPr>
              <w:t>Stanje ukupnih potraživanja na 31.12.2017.</w:t>
            </w:r>
          </w:p>
          <w:p w:rsidR="000A4E75" w:rsidRPr="00FC0425" w:rsidRDefault="000A4E75" w:rsidP="00FC0425">
            <w:pPr>
              <w:jc w:val="center"/>
              <w:rPr>
                <w:b/>
                <w:bCs/>
                <w:sz w:val="18"/>
                <w:szCs w:val="18"/>
              </w:rPr>
            </w:pPr>
            <w:r>
              <w:rPr>
                <w:b/>
                <w:bCs/>
                <w:sz w:val="18"/>
                <w:szCs w:val="18"/>
              </w:rPr>
              <w:t>(EUR)</w:t>
            </w:r>
          </w:p>
        </w:tc>
        <w:tc>
          <w:tcPr>
            <w:tcW w:w="198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A4E75" w:rsidRDefault="000A4E75" w:rsidP="00FC0425">
            <w:pPr>
              <w:jc w:val="center"/>
              <w:rPr>
                <w:b/>
                <w:bCs/>
                <w:sz w:val="18"/>
                <w:szCs w:val="18"/>
              </w:rPr>
            </w:pPr>
            <w:r w:rsidRPr="00FC0425">
              <w:rPr>
                <w:b/>
                <w:bCs/>
                <w:sz w:val="18"/>
                <w:szCs w:val="18"/>
              </w:rPr>
              <w:t>Stanje ukupnih potraživanja na 31.12.2017.</w:t>
            </w:r>
          </w:p>
          <w:p w:rsidR="000A4E75" w:rsidRPr="00FC0425" w:rsidRDefault="000A4E75" w:rsidP="00FC0425">
            <w:pPr>
              <w:jc w:val="center"/>
              <w:rPr>
                <w:b/>
                <w:bCs/>
                <w:sz w:val="18"/>
                <w:szCs w:val="18"/>
              </w:rPr>
            </w:pPr>
            <w:r>
              <w:rPr>
                <w:b/>
                <w:bCs/>
                <w:sz w:val="18"/>
                <w:szCs w:val="18"/>
              </w:rPr>
              <w:t>(HRK)</w:t>
            </w:r>
          </w:p>
        </w:tc>
      </w:tr>
      <w:tr w:rsidR="000A4E75" w:rsidRPr="00FC0425" w:rsidTr="000A4E75">
        <w:trPr>
          <w:trHeight w:val="49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0A4E75" w:rsidRPr="00FC0425" w:rsidRDefault="000A4E75" w:rsidP="00FC0425">
            <w:pPr>
              <w:rPr>
                <w:color w:val="000000"/>
                <w:sz w:val="18"/>
                <w:szCs w:val="18"/>
              </w:rPr>
            </w:pPr>
            <w:r w:rsidRPr="00FC0425">
              <w:rPr>
                <w:color w:val="000000"/>
                <w:sz w:val="18"/>
                <w:szCs w:val="18"/>
              </w:rPr>
              <w:t>HRVATSKE CESTE (Ugovor o prijenosu sred.)</w:t>
            </w:r>
          </w:p>
        </w:tc>
        <w:tc>
          <w:tcPr>
            <w:tcW w:w="1985" w:type="dxa"/>
            <w:tcBorders>
              <w:top w:val="nil"/>
              <w:left w:val="nil"/>
              <w:bottom w:val="single" w:sz="4" w:space="0" w:color="auto"/>
              <w:right w:val="single" w:sz="4" w:space="0" w:color="auto"/>
            </w:tcBorders>
            <w:shd w:val="clear" w:color="auto" w:fill="auto"/>
            <w:vAlign w:val="center"/>
            <w:hideMark/>
          </w:tcPr>
          <w:p w:rsidR="000A4E75" w:rsidRPr="00FC0425" w:rsidRDefault="000A4E75" w:rsidP="00FC0425">
            <w:pPr>
              <w:jc w:val="right"/>
              <w:rPr>
                <w:color w:val="000000"/>
                <w:sz w:val="18"/>
                <w:szCs w:val="18"/>
              </w:rPr>
            </w:pPr>
            <w:r w:rsidRPr="00FC0425">
              <w:rPr>
                <w:color w:val="000000"/>
                <w:sz w:val="18"/>
                <w:szCs w:val="18"/>
              </w:rPr>
              <w:t>506.312.858,00</w:t>
            </w:r>
          </w:p>
        </w:tc>
        <w:tc>
          <w:tcPr>
            <w:tcW w:w="1984" w:type="dxa"/>
            <w:tcBorders>
              <w:top w:val="nil"/>
              <w:left w:val="nil"/>
              <w:bottom w:val="single" w:sz="4" w:space="0" w:color="auto"/>
              <w:right w:val="single" w:sz="8" w:space="0" w:color="auto"/>
            </w:tcBorders>
            <w:shd w:val="clear" w:color="auto" w:fill="auto"/>
            <w:vAlign w:val="center"/>
            <w:hideMark/>
          </w:tcPr>
          <w:p w:rsidR="000A4E75" w:rsidRPr="00FC0425" w:rsidRDefault="000A4E75" w:rsidP="00FC0425">
            <w:pPr>
              <w:jc w:val="right"/>
              <w:rPr>
                <w:color w:val="000000"/>
                <w:sz w:val="18"/>
                <w:szCs w:val="18"/>
              </w:rPr>
            </w:pPr>
            <w:r w:rsidRPr="00FC0425">
              <w:rPr>
                <w:color w:val="000000"/>
                <w:sz w:val="18"/>
                <w:szCs w:val="18"/>
              </w:rPr>
              <w:t>3.804.256.592,88</w:t>
            </w:r>
          </w:p>
        </w:tc>
      </w:tr>
      <w:tr w:rsidR="000A4E75" w:rsidRPr="00FC0425" w:rsidTr="000A4E75">
        <w:trPr>
          <w:trHeight w:val="480"/>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0A4E75" w:rsidRPr="00FC0425" w:rsidRDefault="000A4E75" w:rsidP="00FC0425">
            <w:pPr>
              <w:rPr>
                <w:color w:val="000000"/>
                <w:sz w:val="18"/>
                <w:szCs w:val="18"/>
              </w:rPr>
            </w:pPr>
            <w:r w:rsidRPr="00FC0425">
              <w:rPr>
                <w:color w:val="000000"/>
                <w:sz w:val="18"/>
                <w:szCs w:val="18"/>
              </w:rPr>
              <w:t>HRVATSKE AUTOCESTE (Ugovor o prijenosu sred.)</w:t>
            </w:r>
          </w:p>
        </w:tc>
        <w:tc>
          <w:tcPr>
            <w:tcW w:w="1985" w:type="dxa"/>
            <w:tcBorders>
              <w:top w:val="nil"/>
              <w:left w:val="nil"/>
              <w:bottom w:val="single" w:sz="4" w:space="0" w:color="auto"/>
              <w:right w:val="nil"/>
            </w:tcBorders>
            <w:shd w:val="clear" w:color="auto" w:fill="auto"/>
            <w:noWrap/>
            <w:vAlign w:val="center"/>
            <w:hideMark/>
          </w:tcPr>
          <w:p w:rsidR="000A4E75" w:rsidRPr="00FC0425" w:rsidRDefault="000A4E75" w:rsidP="00FC0425">
            <w:pPr>
              <w:jc w:val="right"/>
              <w:rPr>
                <w:color w:val="000000"/>
                <w:sz w:val="18"/>
                <w:szCs w:val="18"/>
              </w:rPr>
            </w:pPr>
            <w:r w:rsidRPr="00FC0425">
              <w:rPr>
                <w:color w:val="000000"/>
                <w:sz w:val="18"/>
                <w:szCs w:val="18"/>
              </w:rPr>
              <w:t>658.450.082,55</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0A4E75" w:rsidRPr="00FC0425" w:rsidRDefault="000A4E75" w:rsidP="00FC0425">
            <w:pPr>
              <w:jc w:val="right"/>
              <w:rPr>
                <w:color w:val="000000"/>
                <w:sz w:val="18"/>
                <w:szCs w:val="18"/>
              </w:rPr>
            </w:pPr>
            <w:r w:rsidRPr="00FC0425">
              <w:rPr>
                <w:color w:val="000000"/>
                <w:sz w:val="18"/>
                <w:szCs w:val="18"/>
              </w:rPr>
              <w:t>4.947.362.145,85</w:t>
            </w:r>
          </w:p>
        </w:tc>
      </w:tr>
      <w:tr w:rsidR="000A4E75" w:rsidRPr="00FC0425" w:rsidTr="000A4E75">
        <w:trPr>
          <w:trHeight w:val="49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0A4E75" w:rsidRPr="00FC0425" w:rsidRDefault="000A4E75" w:rsidP="00FC0425">
            <w:pPr>
              <w:rPr>
                <w:color w:val="000000"/>
                <w:sz w:val="18"/>
                <w:szCs w:val="18"/>
              </w:rPr>
            </w:pPr>
            <w:r w:rsidRPr="00FC0425">
              <w:rPr>
                <w:color w:val="000000"/>
                <w:sz w:val="18"/>
                <w:szCs w:val="18"/>
              </w:rPr>
              <w:t>AUTOCESTE RI-ZG  (Ugovor o prijenosu sred.)</w:t>
            </w:r>
          </w:p>
        </w:tc>
        <w:tc>
          <w:tcPr>
            <w:tcW w:w="1985" w:type="dxa"/>
            <w:tcBorders>
              <w:top w:val="nil"/>
              <w:left w:val="nil"/>
              <w:bottom w:val="single" w:sz="4" w:space="0" w:color="auto"/>
              <w:right w:val="single" w:sz="4" w:space="0" w:color="auto"/>
            </w:tcBorders>
            <w:shd w:val="clear" w:color="auto" w:fill="auto"/>
            <w:noWrap/>
            <w:vAlign w:val="center"/>
            <w:hideMark/>
          </w:tcPr>
          <w:p w:rsidR="000A4E75" w:rsidRPr="00FC0425" w:rsidRDefault="000A4E75" w:rsidP="00FC0425">
            <w:pPr>
              <w:jc w:val="right"/>
              <w:rPr>
                <w:color w:val="000000"/>
                <w:sz w:val="18"/>
                <w:szCs w:val="18"/>
              </w:rPr>
            </w:pPr>
            <w:r w:rsidRPr="00FC0425">
              <w:rPr>
                <w:color w:val="000000"/>
                <w:sz w:val="18"/>
                <w:szCs w:val="18"/>
              </w:rPr>
              <w:t>83.245.309,45</w:t>
            </w:r>
          </w:p>
        </w:tc>
        <w:tc>
          <w:tcPr>
            <w:tcW w:w="1984" w:type="dxa"/>
            <w:tcBorders>
              <w:top w:val="nil"/>
              <w:left w:val="nil"/>
              <w:bottom w:val="single" w:sz="4" w:space="0" w:color="auto"/>
              <w:right w:val="single" w:sz="8" w:space="0" w:color="auto"/>
            </w:tcBorders>
            <w:shd w:val="clear" w:color="auto" w:fill="auto"/>
            <w:noWrap/>
            <w:vAlign w:val="center"/>
            <w:hideMark/>
          </w:tcPr>
          <w:p w:rsidR="000A4E75" w:rsidRPr="00FC0425" w:rsidRDefault="000A4E75" w:rsidP="00FC0425">
            <w:pPr>
              <w:jc w:val="right"/>
              <w:rPr>
                <w:color w:val="000000"/>
                <w:sz w:val="18"/>
                <w:szCs w:val="18"/>
              </w:rPr>
            </w:pPr>
            <w:r w:rsidRPr="00FC0425">
              <w:rPr>
                <w:color w:val="000000"/>
                <w:sz w:val="18"/>
                <w:szCs w:val="18"/>
              </w:rPr>
              <w:t>625.475.952,86</w:t>
            </w:r>
          </w:p>
        </w:tc>
      </w:tr>
      <w:tr w:rsidR="000A4E75" w:rsidRPr="00FC0425" w:rsidTr="000A4E75">
        <w:trPr>
          <w:trHeight w:val="330"/>
        </w:trPr>
        <w:tc>
          <w:tcPr>
            <w:tcW w:w="2574" w:type="dxa"/>
            <w:tcBorders>
              <w:top w:val="nil"/>
              <w:left w:val="single" w:sz="8" w:space="0" w:color="auto"/>
              <w:bottom w:val="nil"/>
              <w:right w:val="nil"/>
            </w:tcBorders>
            <w:shd w:val="clear" w:color="auto" w:fill="auto"/>
            <w:noWrap/>
            <w:vAlign w:val="bottom"/>
            <w:hideMark/>
          </w:tcPr>
          <w:p w:rsidR="000A4E75" w:rsidRPr="00FC0425" w:rsidRDefault="000A4E75" w:rsidP="00FC0425">
            <w:pPr>
              <w:jc w:val="center"/>
              <w:rPr>
                <w:b/>
                <w:bCs/>
                <w:sz w:val="18"/>
                <w:szCs w:val="18"/>
              </w:rPr>
            </w:pPr>
          </w:p>
        </w:tc>
        <w:tc>
          <w:tcPr>
            <w:tcW w:w="1985" w:type="dxa"/>
            <w:tcBorders>
              <w:top w:val="nil"/>
              <w:left w:val="nil"/>
              <w:bottom w:val="nil"/>
              <w:right w:val="nil"/>
            </w:tcBorders>
            <w:shd w:val="clear" w:color="auto" w:fill="auto"/>
            <w:noWrap/>
            <w:vAlign w:val="bottom"/>
            <w:hideMark/>
          </w:tcPr>
          <w:p w:rsidR="000A4E75" w:rsidRPr="00FC0425" w:rsidRDefault="000A4E75" w:rsidP="00FC0425">
            <w:pPr>
              <w:rPr>
                <w:b/>
                <w:bCs/>
                <w:sz w:val="18"/>
                <w:szCs w:val="18"/>
              </w:rPr>
            </w:pPr>
          </w:p>
        </w:tc>
        <w:tc>
          <w:tcPr>
            <w:tcW w:w="1984" w:type="dxa"/>
            <w:tcBorders>
              <w:top w:val="nil"/>
              <w:left w:val="nil"/>
              <w:bottom w:val="nil"/>
              <w:right w:val="single" w:sz="8" w:space="0" w:color="auto"/>
            </w:tcBorders>
            <w:shd w:val="clear" w:color="auto" w:fill="auto"/>
            <w:noWrap/>
            <w:vAlign w:val="bottom"/>
            <w:hideMark/>
          </w:tcPr>
          <w:p w:rsidR="000A4E75" w:rsidRPr="00FC0425" w:rsidRDefault="000A4E75" w:rsidP="00FC0425">
            <w:pPr>
              <w:rPr>
                <w:b/>
                <w:bCs/>
                <w:sz w:val="18"/>
                <w:szCs w:val="18"/>
              </w:rPr>
            </w:pPr>
          </w:p>
        </w:tc>
      </w:tr>
      <w:tr w:rsidR="000A4E75" w:rsidRPr="00FC0425" w:rsidTr="000A4E75">
        <w:trPr>
          <w:trHeight w:val="330"/>
        </w:trPr>
        <w:tc>
          <w:tcPr>
            <w:tcW w:w="2574" w:type="dxa"/>
            <w:tcBorders>
              <w:top w:val="single" w:sz="8" w:space="0" w:color="auto"/>
              <w:left w:val="single" w:sz="8" w:space="0" w:color="auto"/>
              <w:bottom w:val="single" w:sz="8" w:space="0" w:color="auto"/>
              <w:right w:val="nil"/>
            </w:tcBorders>
            <w:shd w:val="clear" w:color="000000" w:fill="DDD9C4"/>
            <w:noWrap/>
            <w:vAlign w:val="bottom"/>
            <w:hideMark/>
          </w:tcPr>
          <w:p w:rsidR="000A4E75" w:rsidRPr="00FC0425" w:rsidRDefault="000A4E75" w:rsidP="00FC0425">
            <w:pPr>
              <w:rPr>
                <w:b/>
                <w:bCs/>
                <w:sz w:val="18"/>
                <w:szCs w:val="18"/>
              </w:rPr>
            </w:pPr>
            <w:r w:rsidRPr="00FC0425">
              <w:rPr>
                <w:b/>
                <w:bCs/>
                <w:sz w:val="18"/>
                <w:szCs w:val="18"/>
              </w:rPr>
              <w:t xml:space="preserve">UKUPNO </w:t>
            </w:r>
          </w:p>
        </w:tc>
        <w:tc>
          <w:tcPr>
            <w:tcW w:w="1985"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0A4E75" w:rsidRPr="00FC0425" w:rsidRDefault="000A4E75" w:rsidP="00FC0425">
            <w:pPr>
              <w:jc w:val="right"/>
              <w:rPr>
                <w:b/>
                <w:bCs/>
                <w:sz w:val="18"/>
                <w:szCs w:val="18"/>
              </w:rPr>
            </w:pPr>
            <w:r w:rsidRPr="00FC0425">
              <w:rPr>
                <w:b/>
                <w:bCs/>
                <w:sz w:val="18"/>
                <w:szCs w:val="18"/>
              </w:rPr>
              <w:t>1.248.008.250,00</w:t>
            </w:r>
          </w:p>
        </w:tc>
        <w:tc>
          <w:tcPr>
            <w:tcW w:w="1984" w:type="dxa"/>
            <w:tcBorders>
              <w:top w:val="single" w:sz="8" w:space="0" w:color="auto"/>
              <w:left w:val="nil"/>
              <w:bottom w:val="single" w:sz="8" w:space="0" w:color="auto"/>
              <w:right w:val="single" w:sz="8" w:space="0" w:color="auto"/>
            </w:tcBorders>
            <w:shd w:val="clear" w:color="000000" w:fill="DDD9C4"/>
            <w:noWrap/>
            <w:vAlign w:val="bottom"/>
            <w:hideMark/>
          </w:tcPr>
          <w:p w:rsidR="000A4E75" w:rsidRPr="00FC0425" w:rsidRDefault="000A4E75" w:rsidP="00FC0425">
            <w:pPr>
              <w:jc w:val="right"/>
              <w:rPr>
                <w:b/>
                <w:bCs/>
                <w:sz w:val="18"/>
                <w:szCs w:val="18"/>
              </w:rPr>
            </w:pPr>
            <w:r w:rsidRPr="00FC0425">
              <w:rPr>
                <w:b/>
                <w:bCs/>
                <w:sz w:val="18"/>
                <w:szCs w:val="18"/>
              </w:rPr>
              <w:t>9.377.094.691,59</w:t>
            </w:r>
          </w:p>
        </w:tc>
      </w:tr>
    </w:tbl>
    <w:p w:rsidR="00FC0425" w:rsidRDefault="00FC0425" w:rsidP="00C075DE">
      <w:pPr>
        <w:jc w:val="both"/>
      </w:pPr>
    </w:p>
    <w:p w:rsidR="00FC0425" w:rsidRPr="000A0F07" w:rsidRDefault="00FC0425" w:rsidP="00C075DE">
      <w:pPr>
        <w:jc w:val="both"/>
      </w:pPr>
    </w:p>
    <w:p w:rsidR="00C075DE" w:rsidRPr="000A0F07" w:rsidRDefault="00C075DE" w:rsidP="00C83AB5">
      <w:pPr>
        <w:pStyle w:val="Odlomakpopisa"/>
        <w:numPr>
          <w:ilvl w:val="0"/>
          <w:numId w:val="5"/>
        </w:numPr>
        <w:tabs>
          <w:tab w:val="left" w:pos="360"/>
        </w:tabs>
        <w:rPr>
          <w:b/>
          <w:i/>
        </w:rPr>
      </w:pPr>
      <w:r w:rsidRPr="000A0F07">
        <w:rPr>
          <w:b/>
          <w:i/>
        </w:rPr>
        <w:t>Zaduživanje putem dugoročnih kredita</w:t>
      </w:r>
    </w:p>
    <w:p w:rsidR="00C075DE" w:rsidRPr="000A0F07" w:rsidRDefault="00C075DE" w:rsidP="00C075DE">
      <w:pPr>
        <w:tabs>
          <w:tab w:val="left" w:pos="360"/>
        </w:tabs>
        <w:rPr>
          <w:b/>
        </w:rPr>
      </w:pPr>
    </w:p>
    <w:p w:rsidR="00C075DE" w:rsidRPr="000A0F07" w:rsidRDefault="001D6CBB" w:rsidP="00E7271F">
      <w:pPr>
        <w:pStyle w:val="Odlomakpopisa"/>
        <w:numPr>
          <w:ilvl w:val="0"/>
          <w:numId w:val="4"/>
        </w:numPr>
        <w:tabs>
          <w:tab w:val="left" w:pos="360"/>
        </w:tabs>
      </w:pPr>
      <w:r w:rsidRPr="000A0F07">
        <w:t>K</w:t>
      </w:r>
      <w:r w:rsidR="00E7271F" w:rsidRPr="000A0F07">
        <w:t>redit</w:t>
      </w:r>
      <w:r w:rsidR="00C075DE" w:rsidRPr="000A0F07">
        <w:t xml:space="preserve">  u iznosu od 300</w:t>
      </w:r>
      <w:r w:rsidR="00E7271F" w:rsidRPr="000A0F07">
        <w:t xml:space="preserve"> milijuna eura</w:t>
      </w:r>
      <w:r w:rsidR="00C075DE" w:rsidRPr="000A0F07">
        <w:t xml:space="preserve"> </w:t>
      </w:r>
    </w:p>
    <w:p w:rsidR="00C075DE" w:rsidRPr="000A0F07" w:rsidRDefault="00C075DE" w:rsidP="00C075DE">
      <w:pPr>
        <w:tabs>
          <w:tab w:val="left" w:pos="360"/>
        </w:tabs>
        <w:jc w:val="both"/>
      </w:pPr>
      <w:r w:rsidRPr="000A0F07">
        <w:t>Republika Hrvatska se u veljači zadužila na domaćem financijskom tržištu u iznosu od 300</w:t>
      </w:r>
      <w:r w:rsidR="00E7271F" w:rsidRPr="000A0F07">
        <w:t xml:space="preserve"> milijuna</w:t>
      </w:r>
      <w:r w:rsidRPr="000A0F07">
        <w:t xml:space="preserve"> eura uz kamatnu stopu u visini 3-mjesečnog EURIBOR-a + 2,55% godišnje. Glavnica će se otplatiti jednokratno 25. veljače 2021. </w:t>
      </w:r>
    </w:p>
    <w:p w:rsidR="00C075DE" w:rsidRPr="000A0F07" w:rsidRDefault="00E7271F" w:rsidP="00E7271F">
      <w:pPr>
        <w:pStyle w:val="Odlomakpopisa"/>
        <w:numPr>
          <w:ilvl w:val="0"/>
          <w:numId w:val="4"/>
        </w:numPr>
        <w:tabs>
          <w:tab w:val="left" w:pos="360"/>
        </w:tabs>
      </w:pPr>
      <w:r w:rsidRPr="000A0F07">
        <w:t xml:space="preserve">Kredit </w:t>
      </w:r>
      <w:r w:rsidR="00C075DE" w:rsidRPr="000A0F07">
        <w:t xml:space="preserve">u iznosu od </w:t>
      </w:r>
      <w:r w:rsidRPr="000A0F07">
        <w:t xml:space="preserve"> 950 milijuna kuna</w:t>
      </w:r>
    </w:p>
    <w:p w:rsidR="00C075DE" w:rsidRPr="000A0F07" w:rsidRDefault="00C075DE" w:rsidP="00E7271F">
      <w:pPr>
        <w:tabs>
          <w:tab w:val="left" w:pos="360"/>
        </w:tabs>
        <w:jc w:val="both"/>
      </w:pPr>
      <w:r w:rsidRPr="000A0F07">
        <w:t>Republika Hrvatska se u travnju zadužila na domaćem financijskom tržištu u iznosu od 950</w:t>
      </w:r>
      <w:r w:rsidR="00E7271F" w:rsidRPr="000A0F07">
        <w:t xml:space="preserve"> milijuna</w:t>
      </w:r>
      <w:r w:rsidRPr="000A0F07">
        <w:t xml:space="preserve"> kuna. Kamatna stopa je promjenjiva, jednaka zbroju prinosa na trezorske zapise za 364 dana i marže u iznosu od 2,40% godišnje. Otplata glavnice je u dvadeset i jednoj nejednakoj tromjesečnoj rati, od kojih je dvadeset rata svaka u iznosu 30</w:t>
      </w:r>
      <w:r w:rsidR="00E7271F" w:rsidRPr="000A0F07">
        <w:t xml:space="preserve"> milijuna</w:t>
      </w:r>
      <w:r w:rsidRPr="000A0F07">
        <w:t xml:space="preserve"> kuna, a posljednja dvadeset i prva rata u iznosu 350</w:t>
      </w:r>
      <w:r w:rsidR="00E7271F" w:rsidRPr="000A0F07">
        <w:t xml:space="preserve"> milijuna</w:t>
      </w:r>
      <w:r w:rsidRPr="000A0F07">
        <w:t xml:space="preserve"> kuna. Prva rata otplate dospijeva u roku dvije godine od datuma potpisa Ugovora o kreditu, a zadnja u roku od sedam godina od datuma potpisa Ugovora o kreditu</w:t>
      </w:r>
      <w:r w:rsidR="00E7271F" w:rsidRPr="000A0F07">
        <w:t>. Pri</w:t>
      </w:r>
      <w:r w:rsidR="001D6CBB" w:rsidRPr="000A0F07">
        <w:t>mici po ovom kreditnom zaduženju</w:t>
      </w:r>
      <w:r w:rsidR="00E7271F" w:rsidRPr="000A0F07">
        <w:t xml:space="preserve"> su korišteni za otplatu dugoročnog kredita dospjelog u svibnju u iznosu od 735,2 milijuna kuna.</w:t>
      </w:r>
    </w:p>
    <w:p w:rsidR="00C075DE" w:rsidRPr="000A0F07" w:rsidRDefault="00540102" w:rsidP="00540102">
      <w:pPr>
        <w:pStyle w:val="Odlomakpopisa"/>
        <w:numPr>
          <w:ilvl w:val="0"/>
          <w:numId w:val="4"/>
        </w:numPr>
        <w:tabs>
          <w:tab w:val="left" w:pos="360"/>
        </w:tabs>
      </w:pPr>
      <w:r w:rsidRPr="000A0F07">
        <w:t>Kredit</w:t>
      </w:r>
      <w:r w:rsidR="001D6CBB" w:rsidRPr="000A0F07">
        <w:t xml:space="preserve"> </w:t>
      </w:r>
      <w:r w:rsidRPr="000A0F07">
        <w:t>u iznosu od 106,4 milijuna eura</w:t>
      </w:r>
      <w:r w:rsidR="00C075DE" w:rsidRPr="000A0F07">
        <w:t xml:space="preserve"> uz valutnu klauzulu</w:t>
      </w:r>
    </w:p>
    <w:p w:rsidR="00C075DE" w:rsidRPr="000A0F07" w:rsidRDefault="00C075DE" w:rsidP="00C075DE">
      <w:pPr>
        <w:tabs>
          <w:tab w:val="left" w:pos="360"/>
        </w:tabs>
        <w:jc w:val="both"/>
        <w:rPr>
          <w:color w:val="FF0000"/>
        </w:rPr>
      </w:pPr>
      <w:r w:rsidRPr="000A0F07">
        <w:lastRenderedPageBreak/>
        <w:t>Republika Hrvatska se u listopadu zadužila na domaćem financijskom tržištu u iznosu od 106</w:t>
      </w:r>
      <w:r w:rsidR="00540102" w:rsidRPr="000A0F07">
        <w:t>,4 milijuna</w:t>
      </w:r>
      <w:r w:rsidRPr="000A0F07">
        <w:t xml:space="preserve"> eura u svrhu pokrića dospjele glavnice po dugor</w:t>
      </w:r>
      <w:r w:rsidR="009B0A2C" w:rsidRPr="000A0F07">
        <w:t xml:space="preserve">očnom kreditu iz 2014. godine. </w:t>
      </w:r>
      <w:r w:rsidRPr="000A0F07">
        <w:t>Kamatna stopa je promjenjiva i u visini</w:t>
      </w:r>
      <w:r w:rsidR="001D6CBB" w:rsidRPr="000A0F07">
        <w:t xml:space="preserve"> je</w:t>
      </w:r>
      <w:r w:rsidRPr="000A0F07">
        <w:t xml:space="preserve"> 6-mjesečnog EURIBOR-a + 1,50% godišnje. Glavnica će se otplatiti jednokratno 11. listopada 2021.</w:t>
      </w:r>
    </w:p>
    <w:p w:rsidR="00C075DE" w:rsidRPr="000A0F07" w:rsidRDefault="00C075DE" w:rsidP="00C075DE">
      <w:pPr>
        <w:tabs>
          <w:tab w:val="left" w:pos="360"/>
        </w:tabs>
        <w:rPr>
          <w:b/>
        </w:rPr>
      </w:pPr>
    </w:p>
    <w:p w:rsidR="00540102" w:rsidRPr="000A0F07" w:rsidRDefault="00540102" w:rsidP="00EC07D1">
      <w:pPr>
        <w:pStyle w:val="Odlomakpopisa"/>
        <w:numPr>
          <w:ilvl w:val="0"/>
          <w:numId w:val="5"/>
        </w:numPr>
        <w:tabs>
          <w:tab w:val="left" w:pos="0"/>
        </w:tabs>
        <w:jc w:val="both"/>
        <w:rPr>
          <w:b/>
          <w:i/>
        </w:rPr>
      </w:pPr>
      <w:r w:rsidRPr="000A0F07">
        <w:rPr>
          <w:b/>
          <w:i/>
        </w:rPr>
        <w:t>Preuzete obveze</w:t>
      </w:r>
    </w:p>
    <w:p w:rsidR="00540102" w:rsidRPr="000A0F07" w:rsidRDefault="00540102" w:rsidP="00540102">
      <w:pPr>
        <w:jc w:val="both"/>
      </w:pPr>
    </w:p>
    <w:p w:rsidR="00540102" w:rsidRPr="000A0F07" w:rsidRDefault="00540102" w:rsidP="00540102">
      <w:pPr>
        <w:pStyle w:val="Uvuenotijeloteksta"/>
        <w:ind w:firstLine="0"/>
      </w:pPr>
      <w:r w:rsidRPr="000A0F07">
        <w:t>Vlada Republike Hrvatske je 13. prosinca 2017. donijela Odluku o davanju ovlasti Ministarstvu financija za sklapanje ugovora o preuzimanju duga i uređenju međusobnih odnosa između Ministarstva financija, Vrhbosanske nadbiskupije iz Sarajeva i Hrvatske banke za obnovu i razvitak (u nastavku: HBOR). Sastavni dio Odluke je Ugovor o preuzimanju duga i međusobnih odnosa, koji je potpisan 18. prosinca 2017. između Republike Hrvatsk</w:t>
      </w:r>
      <w:r w:rsidR="00EC07D1" w:rsidRPr="000A0F07">
        <w:t>e</w:t>
      </w:r>
      <w:r w:rsidRPr="000A0F07">
        <w:t xml:space="preserve">, Ministarstva financija, Vrhbosanske nadbiskupije i Hrvatske banke za obnovu i razvitak. </w:t>
      </w:r>
    </w:p>
    <w:p w:rsidR="00540102" w:rsidRPr="000A0F07" w:rsidRDefault="00540102" w:rsidP="00540102">
      <w:pPr>
        <w:pStyle w:val="Uvuenotijeloteksta"/>
        <w:ind w:firstLine="0"/>
      </w:pPr>
    </w:p>
    <w:p w:rsidR="00540102" w:rsidRPr="000A0F07" w:rsidRDefault="00540102" w:rsidP="00540102">
      <w:pPr>
        <w:pStyle w:val="Uvuenotijeloteksta"/>
        <w:ind w:firstLine="0"/>
      </w:pPr>
      <w:r w:rsidRPr="000A0F07">
        <w:t xml:space="preserve">Ugovorom o preuzimanju duga i uređenju međusobnih odnosa Republika Hrvatska je preuzela dug, koji Vrhbosanska nadbiskupija iz Sarajeva ima prema HBOR-u temeljem Ugovora o kreditu broj KK-16/07, potpisanog 15. listopada 2007. i njegovih dodataka. </w:t>
      </w:r>
    </w:p>
    <w:p w:rsidR="00540102" w:rsidRPr="000A0F07" w:rsidRDefault="00540102" w:rsidP="00540102">
      <w:pPr>
        <w:pStyle w:val="Uvuenotijeloteksta"/>
        <w:ind w:firstLine="0"/>
      </w:pPr>
      <w:r w:rsidRPr="000A0F07">
        <w:t>Ugovorom o preuzimanju duga i uređenju međusobnih odnosa Vrhbosanska nadbiskupija je HBOR-u prodala nekretninu upisanu kod Općinskog suda u Dubrovniku, na kojoj je u korist HBOR-a upisano založno pravo te se za iznos od 1.088.350,00 eura, na ime kupoprodajne cijene, smanjio dug koji je temeljem Ugovora o preuzimanju duga i uređenju međusobnih odnosa preuzelo Ministarstvo financija u ime Republike Hrvatske.</w:t>
      </w:r>
    </w:p>
    <w:p w:rsidR="00540102" w:rsidRPr="000A0F07" w:rsidRDefault="00540102" w:rsidP="00540102">
      <w:pPr>
        <w:pStyle w:val="Uvuenotijeloteksta"/>
        <w:ind w:firstLine="0"/>
      </w:pPr>
    </w:p>
    <w:p w:rsidR="00540102" w:rsidRPr="000A0F07" w:rsidRDefault="00540102" w:rsidP="00540102">
      <w:pPr>
        <w:pStyle w:val="Uvuenotijeloteksta"/>
        <w:ind w:firstLine="0"/>
      </w:pPr>
      <w:r w:rsidRPr="000A0F07">
        <w:t>Ministarstvo financija je, u ime Republike Hrvatske, u skladu s Odlukom Vlade i Ugovorom o preuzimanju duga i uređenju međusobnih odnosa, preuzelo cjelokupan dug koji Vrhbosanska nadbiskupija ima prema HBOR-u, a čija glavnica iznosi 3.057.692,81 eura uvećana za obračunatu kamatu na dan potpisivanja Ugovora o preuzimanju duga i uređenju međusobnih odnosa te umanjeno za iznos od 1.088.350,00 eura na ime kupoprodajne cijene nekretnine.</w:t>
      </w:r>
    </w:p>
    <w:p w:rsidR="00540102" w:rsidRPr="000A0F07" w:rsidRDefault="00540102" w:rsidP="00C075DE">
      <w:pPr>
        <w:jc w:val="both"/>
        <w:rPr>
          <w:b/>
          <w:snapToGrid w:val="0"/>
          <w:u w:val="single"/>
          <w:lang w:eastAsia="en-US"/>
        </w:rPr>
      </w:pPr>
    </w:p>
    <w:p w:rsidR="00C075DE" w:rsidRPr="000A0F07" w:rsidRDefault="00C075DE" w:rsidP="00C83AB5">
      <w:pPr>
        <w:pStyle w:val="Odlomakpopisa"/>
        <w:numPr>
          <w:ilvl w:val="0"/>
          <w:numId w:val="5"/>
        </w:numPr>
        <w:jc w:val="both"/>
        <w:rPr>
          <w:b/>
          <w:i/>
          <w:snapToGrid w:val="0"/>
          <w:lang w:eastAsia="en-US"/>
        </w:rPr>
      </w:pPr>
      <w:r w:rsidRPr="000A0F07">
        <w:rPr>
          <w:b/>
          <w:i/>
          <w:snapToGrid w:val="0"/>
          <w:lang w:eastAsia="en-US"/>
        </w:rPr>
        <w:t>Zaduživanje putem izdavanja trezorskih zapisa</w:t>
      </w:r>
      <w:r w:rsidR="005E70CF" w:rsidRPr="000A0F07">
        <w:rPr>
          <w:b/>
          <w:i/>
          <w:snapToGrid w:val="0"/>
          <w:lang w:eastAsia="en-US"/>
        </w:rPr>
        <w:t xml:space="preserve"> </w:t>
      </w:r>
    </w:p>
    <w:p w:rsidR="00C075DE" w:rsidRPr="000A0F07" w:rsidRDefault="00C075DE" w:rsidP="00C075DE">
      <w:pPr>
        <w:jc w:val="both"/>
        <w:rPr>
          <w:snapToGrid w:val="0"/>
          <w:color w:val="FF0000"/>
          <w:lang w:eastAsia="en-US"/>
        </w:rPr>
      </w:pPr>
    </w:p>
    <w:p w:rsidR="00C075DE" w:rsidRPr="000A0F07" w:rsidRDefault="00C075DE" w:rsidP="00C075DE">
      <w:pPr>
        <w:jc w:val="both"/>
        <w:rPr>
          <w:snapToGrid w:val="0"/>
          <w:lang w:eastAsia="en-US"/>
        </w:rPr>
      </w:pPr>
      <w:r w:rsidRPr="000A0F07">
        <w:rPr>
          <w:snapToGrid w:val="0"/>
          <w:lang w:eastAsia="en-US"/>
        </w:rPr>
        <w:t xml:space="preserve">Ministarstvo financija provodi aukcije trezorskih zapisa u skladu s Pravilima i uvjetima aukcija trezorskih zapisa, koristeći se elektroničkim aukcijskim sustavom </w:t>
      </w:r>
      <w:proofErr w:type="spellStart"/>
      <w:r w:rsidRPr="000A0F07">
        <w:rPr>
          <w:snapToGrid w:val="0"/>
          <w:lang w:eastAsia="en-US"/>
        </w:rPr>
        <w:t>Bloomberg</w:t>
      </w:r>
      <w:proofErr w:type="spellEnd"/>
      <w:r w:rsidRPr="000A0F07">
        <w:rPr>
          <w:snapToGrid w:val="0"/>
          <w:lang w:eastAsia="en-US"/>
        </w:rPr>
        <w:t xml:space="preserve"> (BAS). </w:t>
      </w:r>
    </w:p>
    <w:p w:rsidR="00C075DE" w:rsidRPr="000A0F07" w:rsidRDefault="00EC07D1" w:rsidP="00C075DE">
      <w:pPr>
        <w:jc w:val="both"/>
      </w:pPr>
      <w:r w:rsidRPr="000A0F07">
        <w:t>U  2017. godini</w:t>
      </w:r>
      <w:r w:rsidR="00C075DE" w:rsidRPr="000A0F07">
        <w:t xml:space="preserve"> održano je 20 aukcija trezorskih zapisa na kojima je bilo ukupno 26 izdanja, od čega 22 kunskih izdanja, 3 izdanja trezorskih zapisa izraženih u eurima a plativih u kunama i 1 izdanje Euro FX trezorskih zapisa (plativi u eurima). Kod kunskih izdanja trezorskih zapisa 1 izdanje je bilo na 91 dan, 2 izdanja na 182 dana i 19 izdanja na 364 dana. Kod trezorskih zapisa izraženih u eurima a plativih u kunama sva tri izdanja su bila na 364 dana, a jedino izdanje Euro FX trezorskih zapisa bilo je na 455 dana. </w:t>
      </w:r>
    </w:p>
    <w:p w:rsidR="00C075DE" w:rsidRPr="000A0F07" w:rsidRDefault="00C075DE" w:rsidP="00C075DE"/>
    <w:p w:rsidR="003146B4" w:rsidRPr="000A0F07" w:rsidRDefault="003146B4" w:rsidP="003146B4">
      <w:pPr>
        <w:pStyle w:val="Opisslike"/>
        <w:keepNext/>
        <w:rPr>
          <w:b w:val="0"/>
          <w:i/>
          <w:color w:val="auto"/>
          <w:sz w:val="24"/>
          <w:szCs w:val="24"/>
        </w:rPr>
      </w:pPr>
      <w:r w:rsidRPr="000A0F07">
        <w:rPr>
          <w:b w:val="0"/>
          <w:i/>
          <w:color w:val="auto"/>
          <w:sz w:val="24"/>
          <w:szCs w:val="24"/>
        </w:rPr>
        <w:t xml:space="preserve">Tablica </w:t>
      </w:r>
      <w:r w:rsidRPr="000A0F07">
        <w:rPr>
          <w:b w:val="0"/>
          <w:i/>
          <w:color w:val="auto"/>
          <w:sz w:val="24"/>
          <w:szCs w:val="24"/>
        </w:rPr>
        <w:fldChar w:fldCharType="begin"/>
      </w:r>
      <w:r w:rsidRPr="000A0F07">
        <w:rPr>
          <w:b w:val="0"/>
          <w:i/>
          <w:color w:val="auto"/>
          <w:sz w:val="24"/>
          <w:szCs w:val="24"/>
        </w:rPr>
        <w:instrText xml:space="preserve"> SEQ Tablica \* ARABIC </w:instrText>
      </w:r>
      <w:r w:rsidRPr="000A0F07">
        <w:rPr>
          <w:b w:val="0"/>
          <w:i/>
          <w:color w:val="auto"/>
          <w:sz w:val="24"/>
          <w:szCs w:val="24"/>
        </w:rPr>
        <w:fldChar w:fldCharType="separate"/>
      </w:r>
      <w:r w:rsidR="00E94121">
        <w:rPr>
          <w:b w:val="0"/>
          <w:i/>
          <w:noProof/>
          <w:color w:val="auto"/>
          <w:sz w:val="24"/>
          <w:szCs w:val="24"/>
        </w:rPr>
        <w:t>2</w:t>
      </w:r>
      <w:r w:rsidRPr="000A0F07">
        <w:rPr>
          <w:b w:val="0"/>
          <w:i/>
          <w:color w:val="auto"/>
          <w:sz w:val="24"/>
          <w:szCs w:val="24"/>
        </w:rPr>
        <w:fldChar w:fldCharType="end"/>
      </w:r>
      <w:r w:rsidRPr="000A0F07">
        <w:rPr>
          <w:b w:val="0"/>
          <w:i/>
          <w:color w:val="auto"/>
          <w:sz w:val="24"/>
          <w:szCs w:val="24"/>
        </w:rPr>
        <w:t>. Struktura trezorskih zapisa na dan 31. prosinca 2016. i 31. prosinca 2017.</w:t>
      </w:r>
    </w:p>
    <w:tbl>
      <w:tblPr>
        <w:tblStyle w:val="Reetkatablice"/>
        <w:tblW w:w="6945" w:type="dxa"/>
        <w:tblInd w:w="2235" w:type="dxa"/>
        <w:shd w:val="clear" w:color="auto" w:fill="DBE5F1" w:themeFill="accent1" w:themeFillTint="33"/>
        <w:tblLook w:val="04A0" w:firstRow="1" w:lastRow="0" w:firstColumn="1" w:lastColumn="0" w:noHBand="0" w:noVBand="1"/>
      </w:tblPr>
      <w:tblGrid>
        <w:gridCol w:w="3543"/>
        <w:gridCol w:w="3402"/>
      </w:tblGrid>
      <w:tr w:rsidR="00C075DE" w:rsidRPr="000A0F07" w:rsidTr="000A0F07">
        <w:tc>
          <w:tcPr>
            <w:tcW w:w="3543" w:type="dxa"/>
            <w:shd w:val="clear" w:color="auto" w:fill="DBE5F1" w:themeFill="accent1" w:themeFillTint="33"/>
          </w:tcPr>
          <w:p w:rsidR="00C075DE" w:rsidRPr="000A0F07" w:rsidRDefault="00C075DE" w:rsidP="00C075DE">
            <w:pPr>
              <w:jc w:val="center"/>
            </w:pPr>
            <w:r w:rsidRPr="000A0F07">
              <w:t>31. prosinca 2016.</w:t>
            </w:r>
          </w:p>
        </w:tc>
        <w:tc>
          <w:tcPr>
            <w:tcW w:w="3402" w:type="dxa"/>
            <w:shd w:val="clear" w:color="auto" w:fill="DBE5F1" w:themeFill="accent1" w:themeFillTint="33"/>
          </w:tcPr>
          <w:p w:rsidR="00C075DE" w:rsidRPr="000A0F07" w:rsidRDefault="00C075DE" w:rsidP="00C075DE">
            <w:pPr>
              <w:jc w:val="center"/>
            </w:pPr>
            <w:r w:rsidRPr="000A0F07">
              <w:t>31. prosinca 2017.</w:t>
            </w:r>
          </w:p>
        </w:tc>
      </w:tr>
    </w:tbl>
    <w:tbl>
      <w:tblPr>
        <w:tblW w:w="9082" w:type="dxa"/>
        <w:tblInd w:w="98" w:type="dxa"/>
        <w:tblLook w:val="0000" w:firstRow="0" w:lastRow="0" w:firstColumn="0" w:lastColumn="0" w:noHBand="0" w:noVBand="0"/>
      </w:tblPr>
      <w:tblGrid>
        <w:gridCol w:w="1286"/>
        <w:gridCol w:w="851"/>
        <w:gridCol w:w="1701"/>
        <w:gridCol w:w="1842"/>
        <w:gridCol w:w="1701"/>
        <w:gridCol w:w="1701"/>
      </w:tblGrid>
      <w:tr w:rsidR="00C075DE" w:rsidRPr="000A0F07" w:rsidTr="000A0F07">
        <w:trPr>
          <w:trHeight w:val="525"/>
        </w:trPr>
        <w:tc>
          <w:tcPr>
            <w:tcW w:w="1286" w:type="dxa"/>
            <w:tcBorders>
              <w:top w:val="single" w:sz="8" w:space="0" w:color="auto"/>
              <w:left w:val="single" w:sz="8" w:space="0" w:color="auto"/>
              <w:bottom w:val="single" w:sz="8" w:space="0" w:color="auto"/>
              <w:right w:val="single" w:sz="4" w:space="0" w:color="auto"/>
            </w:tcBorders>
            <w:shd w:val="clear" w:color="3366FF" w:fill="DBE5F1" w:themeFill="accent1" w:themeFillTint="33"/>
            <w:noWrap/>
            <w:vAlign w:val="bottom"/>
          </w:tcPr>
          <w:p w:rsidR="00C075DE" w:rsidRPr="000A0F07" w:rsidRDefault="00C075DE" w:rsidP="00C075DE">
            <w:pPr>
              <w:jc w:val="center"/>
              <w:rPr>
                <w:b/>
                <w:bCs/>
                <w:sz w:val="20"/>
                <w:szCs w:val="20"/>
              </w:rPr>
            </w:pPr>
            <w:r w:rsidRPr="000A0F07">
              <w:rPr>
                <w:b/>
                <w:bCs/>
                <w:sz w:val="20"/>
                <w:szCs w:val="20"/>
              </w:rPr>
              <w:t xml:space="preserve">Vrsta izdanja </w:t>
            </w:r>
          </w:p>
        </w:tc>
        <w:tc>
          <w:tcPr>
            <w:tcW w:w="851" w:type="dxa"/>
            <w:tcBorders>
              <w:top w:val="single" w:sz="8" w:space="0" w:color="auto"/>
              <w:left w:val="nil"/>
              <w:bottom w:val="single" w:sz="8" w:space="0" w:color="auto"/>
              <w:right w:val="single" w:sz="4" w:space="0" w:color="auto"/>
            </w:tcBorders>
            <w:shd w:val="clear" w:color="3366FF" w:fill="DBE5F1" w:themeFill="accent1" w:themeFillTint="33"/>
            <w:noWrap/>
            <w:vAlign w:val="bottom"/>
          </w:tcPr>
          <w:p w:rsidR="00C075DE" w:rsidRPr="000A0F07" w:rsidRDefault="00C075DE" w:rsidP="00C075DE">
            <w:pPr>
              <w:jc w:val="center"/>
              <w:rPr>
                <w:b/>
                <w:bCs/>
                <w:sz w:val="20"/>
                <w:szCs w:val="20"/>
              </w:rPr>
            </w:pPr>
            <w:r w:rsidRPr="000A0F07">
              <w:rPr>
                <w:b/>
                <w:bCs/>
                <w:sz w:val="20"/>
                <w:szCs w:val="20"/>
              </w:rPr>
              <w:t>Valuta</w:t>
            </w:r>
          </w:p>
        </w:tc>
        <w:tc>
          <w:tcPr>
            <w:tcW w:w="1701" w:type="dxa"/>
            <w:tcBorders>
              <w:top w:val="single" w:sz="8" w:space="0" w:color="auto"/>
              <w:left w:val="nil"/>
              <w:bottom w:val="single" w:sz="8" w:space="0" w:color="auto"/>
              <w:right w:val="nil"/>
            </w:tcBorders>
            <w:shd w:val="clear" w:color="3366FF" w:fill="DBE5F1" w:themeFill="accent1" w:themeFillTint="33"/>
            <w:vAlign w:val="bottom"/>
          </w:tcPr>
          <w:p w:rsidR="00C075DE" w:rsidRPr="000A0F07" w:rsidRDefault="00C075DE" w:rsidP="00C075DE">
            <w:pPr>
              <w:jc w:val="center"/>
              <w:rPr>
                <w:b/>
                <w:bCs/>
                <w:sz w:val="20"/>
                <w:szCs w:val="20"/>
              </w:rPr>
            </w:pPr>
            <w:r w:rsidRPr="000A0F07">
              <w:rPr>
                <w:b/>
                <w:bCs/>
                <w:sz w:val="20"/>
                <w:szCs w:val="20"/>
              </w:rPr>
              <w:t>Iznos u originalnoj valuti</w:t>
            </w:r>
          </w:p>
        </w:tc>
        <w:tc>
          <w:tcPr>
            <w:tcW w:w="1842" w:type="dxa"/>
            <w:tcBorders>
              <w:top w:val="single" w:sz="8" w:space="0" w:color="auto"/>
              <w:left w:val="single" w:sz="4" w:space="0" w:color="auto"/>
              <w:bottom w:val="single" w:sz="8" w:space="0" w:color="auto"/>
              <w:right w:val="single" w:sz="8" w:space="0" w:color="auto"/>
            </w:tcBorders>
            <w:shd w:val="clear" w:color="3366FF" w:fill="DBE5F1" w:themeFill="accent1" w:themeFillTint="33"/>
            <w:noWrap/>
            <w:vAlign w:val="bottom"/>
          </w:tcPr>
          <w:p w:rsidR="00C075DE" w:rsidRPr="000A0F07" w:rsidRDefault="00C075DE" w:rsidP="00C075DE">
            <w:pPr>
              <w:jc w:val="center"/>
              <w:rPr>
                <w:b/>
                <w:bCs/>
                <w:sz w:val="20"/>
                <w:szCs w:val="20"/>
              </w:rPr>
            </w:pPr>
            <w:r w:rsidRPr="000A0F07">
              <w:rPr>
                <w:b/>
                <w:bCs/>
                <w:sz w:val="20"/>
                <w:szCs w:val="20"/>
              </w:rPr>
              <w:t>Iznos u HRK</w:t>
            </w:r>
          </w:p>
          <w:p w:rsidR="00C075DE" w:rsidRPr="000A0F07" w:rsidRDefault="00C075DE" w:rsidP="00C075DE">
            <w:pPr>
              <w:jc w:val="center"/>
              <w:rPr>
                <w:bCs/>
                <w:sz w:val="20"/>
                <w:szCs w:val="20"/>
              </w:rPr>
            </w:pPr>
            <w:r w:rsidRPr="000A0F07">
              <w:rPr>
                <w:bCs/>
                <w:sz w:val="20"/>
                <w:szCs w:val="20"/>
              </w:rPr>
              <w:t>tečaj 7,557787</w:t>
            </w:r>
          </w:p>
        </w:tc>
        <w:tc>
          <w:tcPr>
            <w:tcW w:w="1701" w:type="dxa"/>
            <w:tcBorders>
              <w:top w:val="single" w:sz="8" w:space="0" w:color="auto"/>
              <w:left w:val="single" w:sz="4" w:space="0" w:color="auto"/>
              <w:bottom w:val="single" w:sz="8" w:space="0" w:color="auto"/>
              <w:right w:val="single" w:sz="8" w:space="0" w:color="auto"/>
            </w:tcBorders>
            <w:shd w:val="clear" w:color="3366FF" w:fill="DBE5F1" w:themeFill="accent1" w:themeFillTint="33"/>
            <w:vAlign w:val="bottom"/>
          </w:tcPr>
          <w:p w:rsidR="00C075DE" w:rsidRPr="000A0F07" w:rsidRDefault="00C075DE" w:rsidP="00C075DE">
            <w:pPr>
              <w:jc w:val="center"/>
              <w:rPr>
                <w:b/>
                <w:bCs/>
                <w:sz w:val="20"/>
                <w:szCs w:val="20"/>
              </w:rPr>
            </w:pPr>
            <w:r w:rsidRPr="000A0F07">
              <w:rPr>
                <w:b/>
                <w:bCs/>
                <w:sz w:val="20"/>
                <w:szCs w:val="20"/>
              </w:rPr>
              <w:t>Iznos u originalnoj valuti</w:t>
            </w:r>
          </w:p>
        </w:tc>
        <w:tc>
          <w:tcPr>
            <w:tcW w:w="1701" w:type="dxa"/>
            <w:tcBorders>
              <w:top w:val="single" w:sz="8" w:space="0" w:color="auto"/>
              <w:left w:val="single" w:sz="4" w:space="0" w:color="auto"/>
              <w:bottom w:val="single" w:sz="8" w:space="0" w:color="auto"/>
              <w:right w:val="single" w:sz="8" w:space="0" w:color="auto"/>
            </w:tcBorders>
            <w:shd w:val="clear" w:color="3366FF" w:fill="DBE5F1" w:themeFill="accent1" w:themeFillTint="33"/>
            <w:vAlign w:val="bottom"/>
          </w:tcPr>
          <w:p w:rsidR="00C075DE" w:rsidRPr="000A0F07" w:rsidRDefault="00C075DE" w:rsidP="00C075DE">
            <w:pPr>
              <w:jc w:val="center"/>
              <w:rPr>
                <w:b/>
                <w:bCs/>
                <w:sz w:val="20"/>
                <w:szCs w:val="20"/>
              </w:rPr>
            </w:pPr>
            <w:r w:rsidRPr="000A0F07">
              <w:rPr>
                <w:b/>
                <w:bCs/>
                <w:sz w:val="20"/>
                <w:szCs w:val="20"/>
              </w:rPr>
              <w:t>Iznos u HRK</w:t>
            </w:r>
          </w:p>
          <w:p w:rsidR="00C075DE" w:rsidRPr="000A0F07" w:rsidRDefault="00C075DE" w:rsidP="00C075DE">
            <w:pPr>
              <w:jc w:val="center"/>
              <w:rPr>
                <w:bCs/>
                <w:sz w:val="20"/>
                <w:szCs w:val="20"/>
              </w:rPr>
            </w:pPr>
            <w:r w:rsidRPr="000A0F07">
              <w:rPr>
                <w:bCs/>
                <w:sz w:val="20"/>
                <w:szCs w:val="20"/>
              </w:rPr>
              <w:t>tečaj 7,513648</w:t>
            </w:r>
          </w:p>
        </w:tc>
      </w:tr>
      <w:tr w:rsidR="00C075DE" w:rsidRPr="000A0F07" w:rsidTr="000A0F07">
        <w:trPr>
          <w:trHeight w:val="255"/>
        </w:trPr>
        <w:tc>
          <w:tcPr>
            <w:tcW w:w="1286" w:type="dxa"/>
            <w:tcBorders>
              <w:top w:val="nil"/>
              <w:left w:val="single" w:sz="8" w:space="0" w:color="auto"/>
              <w:bottom w:val="nil"/>
              <w:right w:val="single" w:sz="4" w:space="0" w:color="auto"/>
            </w:tcBorders>
            <w:shd w:val="clear" w:color="auto" w:fill="auto"/>
            <w:noWrap/>
            <w:vAlign w:val="bottom"/>
          </w:tcPr>
          <w:p w:rsidR="00C075DE" w:rsidRPr="000A0F07" w:rsidRDefault="00C075DE" w:rsidP="00C075DE">
            <w:pPr>
              <w:rPr>
                <w:sz w:val="20"/>
                <w:szCs w:val="20"/>
              </w:rPr>
            </w:pPr>
            <w:r w:rsidRPr="000A0F07">
              <w:rPr>
                <w:sz w:val="20"/>
                <w:szCs w:val="20"/>
              </w:rPr>
              <w:t xml:space="preserve">182 dana </w:t>
            </w:r>
          </w:p>
        </w:tc>
        <w:tc>
          <w:tcPr>
            <w:tcW w:w="851" w:type="dxa"/>
            <w:tcBorders>
              <w:top w:val="nil"/>
              <w:left w:val="nil"/>
              <w:bottom w:val="nil"/>
              <w:right w:val="single" w:sz="4" w:space="0" w:color="auto"/>
            </w:tcBorders>
            <w:shd w:val="clear" w:color="auto" w:fill="auto"/>
            <w:noWrap/>
            <w:vAlign w:val="bottom"/>
          </w:tcPr>
          <w:p w:rsidR="00C075DE" w:rsidRPr="000A0F07" w:rsidRDefault="00C075DE" w:rsidP="00C075DE">
            <w:pPr>
              <w:jc w:val="center"/>
              <w:rPr>
                <w:sz w:val="20"/>
                <w:szCs w:val="20"/>
              </w:rPr>
            </w:pPr>
            <w:r w:rsidRPr="000A0F07">
              <w:rPr>
                <w:sz w:val="20"/>
                <w:szCs w:val="20"/>
              </w:rPr>
              <w:t>HRK</w:t>
            </w:r>
          </w:p>
        </w:tc>
        <w:tc>
          <w:tcPr>
            <w:tcW w:w="1701" w:type="dxa"/>
            <w:tcBorders>
              <w:top w:val="nil"/>
              <w:left w:val="nil"/>
              <w:bottom w:val="nil"/>
              <w:right w:val="nil"/>
            </w:tcBorders>
            <w:shd w:val="clear" w:color="auto" w:fill="auto"/>
            <w:noWrap/>
            <w:vAlign w:val="bottom"/>
          </w:tcPr>
          <w:p w:rsidR="00C075DE" w:rsidRPr="000A0F07" w:rsidRDefault="00C075DE" w:rsidP="00C075DE">
            <w:pPr>
              <w:jc w:val="right"/>
              <w:rPr>
                <w:sz w:val="20"/>
                <w:szCs w:val="20"/>
              </w:rPr>
            </w:pPr>
            <w:r w:rsidRPr="000A0F07">
              <w:rPr>
                <w:sz w:val="20"/>
                <w:szCs w:val="20"/>
              </w:rPr>
              <w:t>10.000.000</w:t>
            </w:r>
          </w:p>
        </w:tc>
        <w:tc>
          <w:tcPr>
            <w:tcW w:w="1842" w:type="dxa"/>
            <w:tcBorders>
              <w:top w:val="nil"/>
              <w:left w:val="single" w:sz="4" w:space="0" w:color="auto"/>
              <w:bottom w:val="nil"/>
              <w:right w:val="single" w:sz="8" w:space="0" w:color="auto"/>
            </w:tcBorders>
            <w:shd w:val="clear" w:color="auto" w:fill="auto"/>
            <w:noWrap/>
            <w:vAlign w:val="bottom"/>
          </w:tcPr>
          <w:p w:rsidR="00C075DE" w:rsidRPr="000A0F07" w:rsidRDefault="00C075DE" w:rsidP="00C075DE">
            <w:pPr>
              <w:jc w:val="right"/>
              <w:rPr>
                <w:sz w:val="20"/>
                <w:szCs w:val="20"/>
              </w:rPr>
            </w:pPr>
            <w:r w:rsidRPr="000A0F07">
              <w:rPr>
                <w:sz w:val="20"/>
                <w:szCs w:val="20"/>
              </w:rPr>
              <w:t>10.000.000</w:t>
            </w:r>
          </w:p>
        </w:tc>
        <w:tc>
          <w:tcPr>
            <w:tcW w:w="1701" w:type="dxa"/>
            <w:tcBorders>
              <w:top w:val="nil"/>
              <w:left w:val="single" w:sz="4" w:space="0" w:color="auto"/>
              <w:bottom w:val="nil"/>
              <w:right w:val="single" w:sz="8" w:space="0" w:color="auto"/>
            </w:tcBorders>
            <w:vAlign w:val="bottom"/>
          </w:tcPr>
          <w:p w:rsidR="00C075DE" w:rsidRPr="000A0F07" w:rsidRDefault="00C075DE" w:rsidP="00C075DE">
            <w:pPr>
              <w:jc w:val="right"/>
              <w:rPr>
                <w:sz w:val="20"/>
                <w:szCs w:val="20"/>
              </w:rPr>
            </w:pPr>
            <w:r w:rsidRPr="000A0F07">
              <w:rPr>
                <w:sz w:val="20"/>
                <w:szCs w:val="20"/>
              </w:rPr>
              <w:t>20.000.000</w:t>
            </w:r>
          </w:p>
        </w:tc>
        <w:tc>
          <w:tcPr>
            <w:tcW w:w="1701" w:type="dxa"/>
            <w:tcBorders>
              <w:top w:val="nil"/>
              <w:left w:val="single" w:sz="4" w:space="0" w:color="auto"/>
              <w:bottom w:val="nil"/>
              <w:right w:val="single" w:sz="8" w:space="0" w:color="auto"/>
            </w:tcBorders>
            <w:vAlign w:val="bottom"/>
          </w:tcPr>
          <w:p w:rsidR="00C075DE" w:rsidRPr="000A0F07" w:rsidRDefault="00C075DE" w:rsidP="00C075DE">
            <w:pPr>
              <w:jc w:val="right"/>
              <w:rPr>
                <w:sz w:val="20"/>
                <w:szCs w:val="20"/>
              </w:rPr>
            </w:pPr>
            <w:r w:rsidRPr="000A0F07">
              <w:rPr>
                <w:sz w:val="20"/>
                <w:szCs w:val="20"/>
              </w:rPr>
              <w:t>20.000.000</w:t>
            </w:r>
          </w:p>
        </w:tc>
      </w:tr>
      <w:tr w:rsidR="00C075DE" w:rsidRPr="000A0F07" w:rsidTr="000A0F07">
        <w:trPr>
          <w:trHeight w:val="270"/>
        </w:trPr>
        <w:tc>
          <w:tcPr>
            <w:tcW w:w="1286" w:type="dxa"/>
            <w:tcBorders>
              <w:top w:val="nil"/>
              <w:left w:val="single" w:sz="8" w:space="0" w:color="auto"/>
              <w:bottom w:val="nil"/>
              <w:right w:val="single" w:sz="4" w:space="0" w:color="auto"/>
            </w:tcBorders>
            <w:shd w:val="clear" w:color="auto" w:fill="auto"/>
            <w:noWrap/>
            <w:vAlign w:val="bottom"/>
          </w:tcPr>
          <w:p w:rsidR="00C075DE" w:rsidRPr="000A0F07" w:rsidRDefault="00C075DE" w:rsidP="00C075DE">
            <w:pPr>
              <w:rPr>
                <w:sz w:val="20"/>
                <w:szCs w:val="20"/>
              </w:rPr>
            </w:pPr>
            <w:r w:rsidRPr="000A0F07">
              <w:rPr>
                <w:sz w:val="20"/>
                <w:szCs w:val="20"/>
              </w:rPr>
              <w:t xml:space="preserve">364 dana </w:t>
            </w:r>
          </w:p>
        </w:tc>
        <w:tc>
          <w:tcPr>
            <w:tcW w:w="851" w:type="dxa"/>
            <w:tcBorders>
              <w:top w:val="nil"/>
              <w:left w:val="nil"/>
              <w:bottom w:val="nil"/>
              <w:right w:val="single" w:sz="4" w:space="0" w:color="auto"/>
            </w:tcBorders>
            <w:shd w:val="clear" w:color="auto" w:fill="auto"/>
            <w:noWrap/>
            <w:vAlign w:val="bottom"/>
          </w:tcPr>
          <w:p w:rsidR="00C075DE" w:rsidRPr="000A0F07" w:rsidRDefault="00C075DE" w:rsidP="00C075DE">
            <w:pPr>
              <w:jc w:val="center"/>
              <w:rPr>
                <w:sz w:val="20"/>
                <w:szCs w:val="20"/>
              </w:rPr>
            </w:pPr>
            <w:r w:rsidRPr="000A0F07">
              <w:rPr>
                <w:sz w:val="20"/>
                <w:szCs w:val="20"/>
              </w:rPr>
              <w:t>HRK</w:t>
            </w:r>
          </w:p>
        </w:tc>
        <w:tc>
          <w:tcPr>
            <w:tcW w:w="1701" w:type="dxa"/>
            <w:tcBorders>
              <w:top w:val="nil"/>
              <w:left w:val="nil"/>
              <w:bottom w:val="nil"/>
              <w:right w:val="nil"/>
            </w:tcBorders>
            <w:shd w:val="clear" w:color="auto" w:fill="auto"/>
            <w:noWrap/>
            <w:vAlign w:val="bottom"/>
          </w:tcPr>
          <w:p w:rsidR="00C075DE" w:rsidRPr="000A0F07" w:rsidRDefault="00C075DE" w:rsidP="00C075DE">
            <w:pPr>
              <w:jc w:val="right"/>
              <w:rPr>
                <w:sz w:val="20"/>
                <w:szCs w:val="20"/>
              </w:rPr>
            </w:pPr>
            <w:r w:rsidRPr="000A0F07">
              <w:rPr>
                <w:sz w:val="20"/>
                <w:szCs w:val="20"/>
              </w:rPr>
              <w:t>16.797.000.000</w:t>
            </w:r>
          </w:p>
        </w:tc>
        <w:tc>
          <w:tcPr>
            <w:tcW w:w="1842" w:type="dxa"/>
            <w:tcBorders>
              <w:top w:val="nil"/>
              <w:left w:val="single" w:sz="4" w:space="0" w:color="auto"/>
              <w:bottom w:val="nil"/>
              <w:right w:val="single" w:sz="8" w:space="0" w:color="auto"/>
            </w:tcBorders>
            <w:shd w:val="clear" w:color="auto" w:fill="auto"/>
            <w:noWrap/>
            <w:vAlign w:val="bottom"/>
          </w:tcPr>
          <w:p w:rsidR="00C075DE" w:rsidRPr="000A0F07" w:rsidRDefault="00C075DE" w:rsidP="00C075DE">
            <w:pPr>
              <w:jc w:val="right"/>
              <w:rPr>
                <w:sz w:val="20"/>
                <w:szCs w:val="20"/>
              </w:rPr>
            </w:pPr>
            <w:r w:rsidRPr="000A0F07">
              <w:rPr>
                <w:sz w:val="20"/>
                <w:szCs w:val="20"/>
              </w:rPr>
              <w:t>16.797.000.000</w:t>
            </w:r>
          </w:p>
        </w:tc>
        <w:tc>
          <w:tcPr>
            <w:tcW w:w="1701" w:type="dxa"/>
            <w:tcBorders>
              <w:top w:val="nil"/>
              <w:left w:val="single" w:sz="4" w:space="0" w:color="auto"/>
              <w:bottom w:val="nil"/>
              <w:right w:val="single" w:sz="8" w:space="0" w:color="auto"/>
            </w:tcBorders>
            <w:vAlign w:val="bottom"/>
          </w:tcPr>
          <w:p w:rsidR="00C075DE" w:rsidRPr="000A0F07" w:rsidRDefault="00C075DE" w:rsidP="00C075DE">
            <w:pPr>
              <w:jc w:val="right"/>
              <w:rPr>
                <w:sz w:val="20"/>
                <w:szCs w:val="20"/>
              </w:rPr>
            </w:pPr>
            <w:r w:rsidRPr="000A0F07">
              <w:rPr>
                <w:sz w:val="20"/>
                <w:szCs w:val="20"/>
              </w:rPr>
              <w:t>16.932.000.000</w:t>
            </w:r>
          </w:p>
        </w:tc>
        <w:tc>
          <w:tcPr>
            <w:tcW w:w="1701" w:type="dxa"/>
            <w:tcBorders>
              <w:top w:val="nil"/>
              <w:left w:val="single" w:sz="4" w:space="0" w:color="auto"/>
              <w:bottom w:val="nil"/>
              <w:right w:val="single" w:sz="8" w:space="0" w:color="auto"/>
            </w:tcBorders>
            <w:vAlign w:val="bottom"/>
          </w:tcPr>
          <w:p w:rsidR="00C075DE" w:rsidRPr="000A0F07" w:rsidRDefault="00C075DE" w:rsidP="00C075DE">
            <w:pPr>
              <w:jc w:val="right"/>
              <w:rPr>
                <w:sz w:val="20"/>
                <w:szCs w:val="20"/>
              </w:rPr>
            </w:pPr>
            <w:r w:rsidRPr="000A0F07">
              <w:rPr>
                <w:sz w:val="20"/>
                <w:szCs w:val="20"/>
              </w:rPr>
              <w:t>16.932.000.000</w:t>
            </w:r>
          </w:p>
        </w:tc>
      </w:tr>
      <w:tr w:rsidR="00C075DE" w:rsidRPr="000A0F07" w:rsidTr="000A0F07">
        <w:trPr>
          <w:trHeight w:val="255"/>
        </w:trPr>
        <w:tc>
          <w:tcPr>
            <w:tcW w:w="1286" w:type="dxa"/>
            <w:tcBorders>
              <w:top w:val="nil"/>
              <w:left w:val="single" w:sz="8" w:space="0" w:color="auto"/>
              <w:bottom w:val="nil"/>
              <w:right w:val="single" w:sz="4" w:space="0" w:color="auto"/>
            </w:tcBorders>
            <w:shd w:val="clear" w:color="auto" w:fill="auto"/>
            <w:noWrap/>
            <w:vAlign w:val="bottom"/>
          </w:tcPr>
          <w:p w:rsidR="00C075DE" w:rsidRPr="000A0F07" w:rsidRDefault="00C075DE" w:rsidP="00C075DE">
            <w:pPr>
              <w:rPr>
                <w:sz w:val="20"/>
                <w:szCs w:val="20"/>
              </w:rPr>
            </w:pPr>
            <w:r w:rsidRPr="000A0F07">
              <w:rPr>
                <w:sz w:val="20"/>
                <w:szCs w:val="20"/>
              </w:rPr>
              <w:t>364 dana VK</w:t>
            </w:r>
          </w:p>
        </w:tc>
        <w:tc>
          <w:tcPr>
            <w:tcW w:w="851" w:type="dxa"/>
            <w:tcBorders>
              <w:top w:val="nil"/>
              <w:left w:val="nil"/>
              <w:bottom w:val="nil"/>
              <w:right w:val="single" w:sz="4" w:space="0" w:color="auto"/>
            </w:tcBorders>
            <w:shd w:val="clear" w:color="auto" w:fill="auto"/>
            <w:noWrap/>
            <w:vAlign w:val="bottom"/>
          </w:tcPr>
          <w:p w:rsidR="00C075DE" w:rsidRPr="000A0F07" w:rsidRDefault="00C075DE" w:rsidP="00C075DE">
            <w:pPr>
              <w:jc w:val="center"/>
              <w:rPr>
                <w:sz w:val="20"/>
                <w:szCs w:val="20"/>
              </w:rPr>
            </w:pPr>
            <w:r w:rsidRPr="000A0F07">
              <w:rPr>
                <w:sz w:val="20"/>
                <w:szCs w:val="20"/>
              </w:rPr>
              <w:t>EUR</w:t>
            </w:r>
          </w:p>
        </w:tc>
        <w:tc>
          <w:tcPr>
            <w:tcW w:w="1701" w:type="dxa"/>
            <w:tcBorders>
              <w:top w:val="nil"/>
              <w:left w:val="nil"/>
              <w:bottom w:val="nil"/>
              <w:right w:val="nil"/>
            </w:tcBorders>
            <w:shd w:val="clear" w:color="auto" w:fill="auto"/>
            <w:noWrap/>
            <w:vAlign w:val="bottom"/>
          </w:tcPr>
          <w:p w:rsidR="00C075DE" w:rsidRPr="000A0F07" w:rsidRDefault="00C075DE" w:rsidP="00C075DE">
            <w:pPr>
              <w:jc w:val="right"/>
              <w:rPr>
                <w:sz w:val="20"/>
                <w:szCs w:val="20"/>
              </w:rPr>
            </w:pPr>
            <w:r w:rsidRPr="000A0F07">
              <w:rPr>
                <w:sz w:val="20"/>
                <w:szCs w:val="20"/>
              </w:rPr>
              <w:t>104.600.000</w:t>
            </w:r>
          </w:p>
        </w:tc>
        <w:tc>
          <w:tcPr>
            <w:tcW w:w="1842" w:type="dxa"/>
            <w:tcBorders>
              <w:top w:val="nil"/>
              <w:left w:val="single" w:sz="4" w:space="0" w:color="auto"/>
              <w:bottom w:val="nil"/>
              <w:right w:val="single" w:sz="8" w:space="0" w:color="auto"/>
            </w:tcBorders>
            <w:shd w:val="clear" w:color="auto" w:fill="auto"/>
            <w:noWrap/>
            <w:vAlign w:val="bottom"/>
          </w:tcPr>
          <w:p w:rsidR="00C075DE" w:rsidRPr="000A0F07" w:rsidRDefault="00C075DE" w:rsidP="00C075DE">
            <w:pPr>
              <w:jc w:val="right"/>
              <w:rPr>
                <w:sz w:val="20"/>
                <w:szCs w:val="20"/>
              </w:rPr>
            </w:pPr>
            <w:r w:rsidRPr="000A0F07">
              <w:rPr>
                <w:sz w:val="20"/>
                <w:szCs w:val="20"/>
              </w:rPr>
              <w:t>790.544.520</w:t>
            </w:r>
          </w:p>
        </w:tc>
        <w:tc>
          <w:tcPr>
            <w:tcW w:w="1701" w:type="dxa"/>
            <w:tcBorders>
              <w:top w:val="nil"/>
              <w:left w:val="single" w:sz="4" w:space="0" w:color="auto"/>
              <w:bottom w:val="nil"/>
              <w:right w:val="single" w:sz="8" w:space="0" w:color="auto"/>
            </w:tcBorders>
            <w:vAlign w:val="bottom"/>
          </w:tcPr>
          <w:p w:rsidR="00C075DE" w:rsidRPr="000A0F07" w:rsidRDefault="00C075DE" w:rsidP="00C075DE">
            <w:pPr>
              <w:jc w:val="right"/>
              <w:rPr>
                <w:sz w:val="20"/>
                <w:szCs w:val="20"/>
              </w:rPr>
            </w:pPr>
            <w:r w:rsidRPr="000A0F07">
              <w:rPr>
                <w:sz w:val="20"/>
                <w:szCs w:val="20"/>
              </w:rPr>
              <w:t>62.200.000</w:t>
            </w:r>
          </w:p>
        </w:tc>
        <w:tc>
          <w:tcPr>
            <w:tcW w:w="1701" w:type="dxa"/>
            <w:tcBorders>
              <w:top w:val="nil"/>
              <w:left w:val="single" w:sz="4" w:space="0" w:color="auto"/>
              <w:bottom w:val="nil"/>
              <w:right w:val="single" w:sz="8" w:space="0" w:color="auto"/>
            </w:tcBorders>
            <w:vAlign w:val="bottom"/>
          </w:tcPr>
          <w:p w:rsidR="00C075DE" w:rsidRPr="000A0F07" w:rsidRDefault="00C075DE" w:rsidP="00C075DE">
            <w:pPr>
              <w:jc w:val="right"/>
              <w:rPr>
                <w:sz w:val="20"/>
                <w:szCs w:val="20"/>
              </w:rPr>
            </w:pPr>
            <w:r w:rsidRPr="000A0F07">
              <w:rPr>
                <w:sz w:val="20"/>
                <w:szCs w:val="20"/>
              </w:rPr>
              <w:t>467.348.906</w:t>
            </w:r>
          </w:p>
        </w:tc>
      </w:tr>
      <w:tr w:rsidR="00C075DE" w:rsidRPr="000A0F07" w:rsidTr="000A0F07">
        <w:trPr>
          <w:trHeight w:val="270"/>
        </w:trPr>
        <w:tc>
          <w:tcPr>
            <w:tcW w:w="1286" w:type="dxa"/>
            <w:tcBorders>
              <w:top w:val="nil"/>
              <w:left w:val="single" w:sz="8" w:space="0" w:color="auto"/>
              <w:bottom w:val="single" w:sz="8" w:space="0" w:color="auto"/>
              <w:right w:val="single" w:sz="4" w:space="0" w:color="auto"/>
            </w:tcBorders>
            <w:shd w:val="clear" w:color="auto" w:fill="auto"/>
            <w:noWrap/>
            <w:vAlign w:val="bottom"/>
          </w:tcPr>
          <w:p w:rsidR="00C075DE" w:rsidRPr="000A0F07" w:rsidRDefault="00C075DE" w:rsidP="00C075DE">
            <w:pPr>
              <w:rPr>
                <w:sz w:val="20"/>
                <w:szCs w:val="20"/>
              </w:rPr>
            </w:pPr>
            <w:r w:rsidRPr="000A0F07">
              <w:rPr>
                <w:sz w:val="20"/>
                <w:szCs w:val="20"/>
              </w:rPr>
              <w:t>455 dana FX</w:t>
            </w:r>
          </w:p>
        </w:tc>
        <w:tc>
          <w:tcPr>
            <w:tcW w:w="851" w:type="dxa"/>
            <w:tcBorders>
              <w:top w:val="nil"/>
              <w:left w:val="nil"/>
              <w:bottom w:val="single" w:sz="8" w:space="0" w:color="auto"/>
              <w:right w:val="single" w:sz="4" w:space="0" w:color="auto"/>
            </w:tcBorders>
            <w:shd w:val="clear" w:color="auto" w:fill="auto"/>
            <w:noWrap/>
            <w:vAlign w:val="bottom"/>
          </w:tcPr>
          <w:p w:rsidR="00C075DE" w:rsidRPr="000A0F07" w:rsidRDefault="00C075DE" w:rsidP="00C075DE">
            <w:pPr>
              <w:jc w:val="center"/>
              <w:rPr>
                <w:sz w:val="20"/>
                <w:szCs w:val="20"/>
              </w:rPr>
            </w:pPr>
            <w:r w:rsidRPr="000A0F07">
              <w:rPr>
                <w:sz w:val="20"/>
                <w:szCs w:val="20"/>
              </w:rPr>
              <w:t>EUR</w:t>
            </w:r>
          </w:p>
        </w:tc>
        <w:tc>
          <w:tcPr>
            <w:tcW w:w="1701" w:type="dxa"/>
            <w:tcBorders>
              <w:top w:val="nil"/>
              <w:left w:val="nil"/>
              <w:bottom w:val="single" w:sz="8" w:space="0" w:color="auto"/>
              <w:right w:val="nil"/>
            </w:tcBorders>
            <w:shd w:val="clear" w:color="auto" w:fill="auto"/>
            <w:noWrap/>
            <w:vAlign w:val="bottom"/>
          </w:tcPr>
          <w:p w:rsidR="00C075DE" w:rsidRPr="000A0F07" w:rsidRDefault="00C075DE" w:rsidP="00C075DE">
            <w:pPr>
              <w:jc w:val="right"/>
              <w:rPr>
                <w:sz w:val="20"/>
                <w:szCs w:val="20"/>
              </w:rPr>
            </w:pPr>
            <w:r w:rsidRPr="000A0F07">
              <w:rPr>
                <w:sz w:val="20"/>
                <w:szCs w:val="20"/>
              </w:rPr>
              <w:t>1.500.000.000</w:t>
            </w:r>
          </w:p>
        </w:tc>
        <w:tc>
          <w:tcPr>
            <w:tcW w:w="1842" w:type="dxa"/>
            <w:tcBorders>
              <w:top w:val="nil"/>
              <w:left w:val="single" w:sz="4" w:space="0" w:color="auto"/>
              <w:bottom w:val="single" w:sz="8" w:space="0" w:color="auto"/>
              <w:right w:val="single" w:sz="8" w:space="0" w:color="auto"/>
            </w:tcBorders>
            <w:shd w:val="clear" w:color="auto" w:fill="auto"/>
            <w:noWrap/>
            <w:vAlign w:val="bottom"/>
          </w:tcPr>
          <w:p w:rsidR="00C075DE" w:rsidRPr="000A0F07" w:rsidRDefault="00C075DE" w:rsidP="00C075DE">
            <w:pPr>
              <w:jc w:val="right"/>
              <w:rPr>
                <w:sz w:val="20"/>
                <w:szCs w:val="20"/>
              </w:rPr>
            </w:pPr>
            <w:r w:rsidRPr="000A0F07">
              <w:rPr>
                <w:sz w:val="20"/>
                <w:szCs w:val="20"/>
              </w:rPr>
              <w:t>11.336.680.500</w:t>
            </w:r>
          </w:p>
        </w:tc>
        <w:tc>
          <w:tcPr>
            <w:tcW w:w="1701" w:type="dxa"/>
            <w:tcBorders>
              <w:top w:val="nil"/>
              <w:left w:val="single" w:sz="4" w:space="0" w:color="auto"/>
              <w:bottom w:val="single" w:sz="8" w:space="0" w:color="auto"/>
              <w:right w:val="single" w:sz="8" w:space="0" w:color="auto"/>
            </w:tcBorders>
            <w:vAlign w:val="bottom"/>
          </w:tcPr>
          <w:p w:rsidR="00C075DE" w:rsidRPr="000A0F07" w:rsidRDefault="00C075DE" w:rsidP="00C075DE">
            <w:pPr>
              <w:jc w:val="right"/>
              <w:rPr>
                <w:sz w:val="20"/>
                <w:szCs w:val="20"/>
              </w:rPr>
            </w:pPr>
            <w:r w:rsidRPr="000A0F07">
              <w:rPr>
                <w:sz w:val="20"/>
                <w:szCs w:val="20"/>
              </w:rPr>
              <w:t>1.500.000.000</w:t>
            </w:r>
          </w:p>
        </w:tc>
        <w:tc>
          <w:tcPr>
            <w:tcW w:w="1701" w:type="dxa"/>
            <w:tcBorders>
              <w:top w:val="nil"/>
              <w:left w:val="single" w:sz="4" w:space="0" w:color="auto"/>
              <w:bottom w:val="single" w:sz="8" w:space="0" w:color="auto"/>
              <w:right w:val="single" w:sz="8" w:space="0" w:color="auto"/>
            </w:tcBorders>
            <w:vAlign w:val="bottom"/>
          </w:tcPr>
          <w:p w:rsidR="00C075DE" w:rsidRPr="000A0F07" w:rsidRDefault="00C075DE" w:rsidP="00C075DE">
            <w:pPr>
              <w:jc w:val="right"/>
              <w:rPr>
                <w:sz w:val="20"/>
                <w:szCs w:val="20"/>
              </w:rPr>
            </w:pPr>
            <w:r w:rsidRPr="000A0F07">
              <w:rPr>
                <w:sz w:val="20"/>
                <w:szCs w:val="20"/>
              </w:rPr>
              <w:t>11.270.472.000</w:t>
            </w:r>
          </w:p>
        </w:tc>
      </w:tr>
      <w:tr w:rsidR="00C075DE" w:rsidRPr="000A0F07" w:rsidTr="000A0F07">
        <w:trPr>
          <w:trHeight w:val="330"/>
        </w:trPr>
        <w:tc>
          <w:tcPr>
            <w:tcW w:w="1286" w:type="dxa"/>
            <w:tcBorders>
              <w:top w:val="single" w:sz="8" w:space="0" w:color="auto"/>
              <w:left w:val="single" w:sz="8" w:space="0" w:color="auto"/>
              <w:bottom w:val="single" w:sz="8" w:space="0" w:color="auto"/>
              <w:right w:val="single" w:sz="4" w:space="0" w:color="auto"/>
            </w:tcBorders>
            <w:shd w:val="clear" w:color="3366FF" w:fill="DBE5F1" w:themeFill="accent1" w:themeFillTint="33"/>
            <w:noWrap/>
            <w:vAlign w:val="bottom"/>
          </w:tcPr>
          <w:p w:rsidR="00C075DE" w:rsidRPr="000A0F07" w:rsidRDefault="00C075DE" w:rsidP="00C075DE">
            <w:pPr>
              <w:jc w:val="center"/>
              <w:rPr>
                <w:b/>
                <w:bCs/>
                <w:sz w:val="20"/>
                <w:szCs w:val="20"/>
              </w:rPr>
            </w:pPr>
            <w:r w:rsidRPr="000A0F07">
              <w:rPr>
                <w:b/>
                <w:bCs/>
                <w:sz w:val="20"/>
                <w:szCs w:val="20"/>
              </w:rPr>
              <w:t>Ukupno</w:t>
            </w:r>
          </w:p>
        </w:tc>
        <w:tc>
          <w:tcPr>
            <w:tcW w:w="851" w:type="dxa"/>
            <w:tcBorders>
              <w:top w:val="single" w:sz="8" w:space="0" w:color="auto"/>
              <w:left w:val="nil"/>
              <w:bottom w:val="single" w:sz="8" w:space="0" w:color="auto"/>
              <w:right w:val="single" w:sz="4" w:space="0" w:color="auto"/>
            </w:tcBorders>
            <w:shd w:val="clear" w:color="3366FF" w:fill="DBE5F1" w:themeFill="accent1" w:themeFillTint="33"/>
            <w:noWrap/>
            <w:vAlign w:val="bottom"/>
          </w:tcPr>
          <w:p w:rsidR="00C075DE" w:rsidRPr="000A0F07" w:rsidRDefault="00C075DE" w:rsidP="00C075DE">
            <w:pPr>
              <w:jc w:val="center"/>
              <w:rPr>
                <w:b/>
                <w:bCs/>
                <w:sz w:val="20"/>
                <w:szCs w:val="20"/>
              </w:rPr>
            </w:pPr>
            <w:r w:rsidRPr="000A0F07">
              <w:rPr>
                <w:b/>
                <w:bCs/>
                <w:sz w:val="20"/>
                <w:szCs w:val="20"/>
              </w:rPr>
              <w:t>HRK</w:t>
            </w:r>
          </w:p>
        </w:tc>
        <w:tc>
          <w:tcPr>
            <w:tcW w:w="1701" w:type="dxa"/>
            <w:tcBorders>
              <w:top w:val="single" w:sz="8" w:space="0" w:color="auto"/>
              <w:left w:val="nil"/>
              <w:bottom w:val="single" w:sz="8" w:space="0" w:color="auto"/>
              <w:right w:val="nil"/>
            </w:tcBorders>
            <w:shd w:val="clear" w:color="3366FF" w:fill="DBE5F1" w:themeFill="accent1" w:themeFillTint="33"/>
            <w:noWrap/>
            <w:vAlign w:val="bottom"/>
          </w:tcPr>
          <w:p w:rsidR="00C075DE" w:rsidRPr="000A0F07" w:rsidRDefault="00C075DE" w:rsidP="00C075DE">
            <w:pPr>
              <w:jc w:val="right"/>
              <w:rPr>
                <w:b/>
                <w:bCs/>
                <w:sz w:val="20"/>
                <w:szCs w:val="20"/>
              </w:rPr>
            </w:pPr>
            <w:r w:rsidRPr="000A0F07">
              <w:rPr>
                <w:b/>
                <w:bCs/>
                <w:sz w:val="20"/>
                <w:szCs w:val="20"/>
              </w:rPr>
              <w:t> </w:t>
            </w:r>
          </w:p>
        </w:tc>
        <w:tc>
          <w:tcPr>
            <w:tcW w:w="1842" w:type="dxa"/>
            <w:tcBorders>
              <w:top w:val="single" w:sz="8" w:space="0" w:color="auto"/>
              <w:left w:val="single" w:sz="4" w:space="0" w:color="auto"/>
              <w:bottom w:val="single" w:sz="8" w:space="0" w:color="auto"/>
              <w:right w:val="single" w:sz="8" w:space="0" w:color="auto"/>
            </w:tcBorders>
            <w:shd w:val="clear" w:color="3366FF" w:fill="DBE5F1" w:themeFill="accent1" w:themeFillTint="33"/>
            <w:noWrap/>
            <w:vAlign w:val="bottom"/>
          </w:tcPr>
          <w:p w:rsidR="00C075DE" w:rsidRPr="000A0F07" w:rsidRDefault="00C075DE" w:rsidP="00C075DE">
            <w:pPr>
              <w:jc w:val="right"/>
              <w:rPr>
                <w:b/>
                <w:bCs/>
                <w:sz w:val="20"/>
                <w:szCs w:val="20"/>
              </w:rPr>
            </w:pPr>
            <w:r w:rsidRPr="000A0F07">
              <w:rPr>
                <w:b/>
                <w:bCs/>
                <w:sz w:val="20"/>
                <w:szCs w:val="20"/>
              </w:rPr>
              <w:t>28.934.225.020</w:t>
            </w:r>
          </w:p>
        </w:tc>
        <w:tc>
          <w:tcPr>
            <w:tcW w:w="1701" w:type="dxa"/>
            <w:tcBorders>
              <w:top w:val="single" w:sz="8" w:space="0" w:color="auto"/>
              <w:left w:val="single" w:sz="4" w:space="0" w:color="auto"/>
              <w:bottom w:val="single" w:sz="8" w:space="0" w:color="auto"/>
              <w:right w:val="single" w:sz="8" w:space="0" w:color="auto"/>
            </w:tcBorders>
            <w:shd w:val="clear" w:color="3366FF" w:fill="DBE5F1" w:themeFill="accent1" w:themeFillTint="33"/>
            <w:vAlign w:val="bottom"/>
          </w:tcPr>
          <w:p w:rsidR="00C075DE" w:rsidRPr="000A0F07" w:rsidRDefault="00C075DE" w:rsidP="00C075DE">
            <w:pPr>
              <w:jc w:val="right"/>
              <w:rPr>
                <w:b/>
                <w:bCs/>
                <w:sz w:val="20"/>
                <w:szCs w:val="20"/>
              </w:rPr>
            </w:pPr>
            <w:r w:rsidRPr="000A0F07">
              <w:rPr>
                <w:b/>
                <w:bCs/>
                <w:sz w:val="20"/>
                <w:szCs w:val="20"/>
              </w:rPr>
              <w:t> </w:t>
            </w:r>
          </w:p>
        </w:tc>
        <w:tc>
          <w:tcPr>
            <w:tcW w:w="1701" w:type="dxa"/>
            <w:tcBorders>
              <w:top w:val="single" w:sz="8" w:space="0" w:color="auto"/>
              <w:left w:val="single" w:sz="4" w:space="0" w:color="auto"/>
              <w:bottom w:val="single" w:sz="8" w:space="0" w:color="auto"/>
              <w:right w:val="single" w:sz="8" w:space="0" w:color="auto"/>
            </w:tcBorders>
            <w:shd w:val="clear" w:color="3366FF" w:fill="DBE5F1" w:themeFill="accent1" w:themeFillTint="33"/>
            <w:vAlign w:val="bottom"/>
          </w:tcPr>
          <w:p w:rsidR="00C075DE" w:rsidRPr="000A0F07" w:rsidRDefault="00C075DE" w:rsidP="00C075DE">
            <w:pPr>
              <w:jc w:val="right"/>
              <w:rPr>
                <w:b/>
                <w:bCs/>
                <w:sz w:val="20"/>
                <w:szCs w:val="20"/>
              </w:rPr>
            </w:pPr>
            <w:r w:rsidRPr="000A0F07">
              <w:rPr>
                <w:b/>
                <w:bCs/>
                <w:sz w:val="20"/>
                <w:szCs w:val="20"/>
              </w:rPr>
              <w:t>28.689.820.906</w:t>
            </w:r>
          </w:p>
        </w:tc>
      </w:tr>
    </w:tbl>
    <w:p w:rsidR="00A1020F" w:rsidRPr="000A0F07" w:rsidRDefault="00A1020F" w:rsidP="00C075DE">
      <w:pPr>
        <w:tabs>
          <w:tab w:val="left" w:pos="360"/>
        </w:tabs>
        <w:jc w:val="both"/>
      </w:pPr>
    </w:p>
    <w:p w:rsidR="00C075DE" w:rsidRPr="000A0F07" w:rsidRDefault="00C075DE" w:rsidP="00C075DE">
      <w:pPr>
        <w:tabs>
          <w:tab w:val="left" w:pos="360"/>
        </w:tabs>
        <w:jc w:val="both"/>
      </w:pPr>
      <w:r w:rsidRPr="000A0F07">
        <w:t>Do kraja 2017. godine na aukcijama trezorskih zapisa izdano je ukupno 17,052 milijardi kuna i 62,2 milijuna eura (plativih u kunama) trezorskih zapisa. Istodobno je iskupljeno 16,907 mili</w:t>
      </w:r>
      <w:r w:rsidR="00A1020F" w:rsidRPr="000A0F07">
        <w:t>jardi kuna i 104,6 milijun eura (</w:t>
      </w:r>
      <w:r w:rsidRPr="000A0F07">
        <w:t>plativih u kunama) trezorskih zapisa. Izdano je i istodobno iskupljeno 1,5 milijardi Euro FX trezorskih zapisa. Stanje ukupno upisanih trezorskih zapisa smanjilo se sa 28,9 milijarde kuna, koliko je iznosilo potkraj 2016. godine, na 28,7 milijardi kuna, koliko je iznosilo na kraju 2017. godine. Struktura  i ukupan iznos upisanih trezorskih zapisana na dan 31. prosinca 2016. i  2017. godine prikazano je u tablici 1.</w:t>
      </w:r>
    </w:p>
    <w:p w:rsidR="00C075DE" w:rsidRPr="000A0F07" w:rsidRDefault="00C075DE" w:rsidP="00C075DE">
      <w:pPr>
        <w:rPr>
          <w:color w:val="FF0000"/>
        </w:rPr>
      </w:pPr>
    </w:p>
    <w:p w:rsidR="00C075DE" w:rsidRPr="000A0F07" w:rsidRDefault="00C075DE" w:rsidP="00C075DE">
      <w:pPr>
        <w:jc w:val="both"/>
      </w:pPr>
      <w:r w:rsidRPr="000A0F07">
        <w:t>Tijekom 2017. godine kamatne stope na trezorske zapise su se smanjile u odnosu na kraj 2016. godine. Kamatne stope na trezorske zapise u kunama s rokom od 364 dana sm</w:t>
      </w:r>
      <w:r w:rsidR="00A1020F" w:rsidRPr="000A0F07">
        <w:t>anjile sa 0,65 na 0,20 posto. U</w:t>
      </w:r>
      <w:r w:rsidRPr="000A0F07">
        <w:t xml:space="preserve"> 2017. godini je bilo sa</w:t>
      </w:r>
      <w:r w:rsidR="00A1020F" w:rsidRPr="000A0F07">
        <w:t>mo jedno kunsko izdanje s rokom</w:t>
      </w:r>
      <w:r w:rsidRPr="000A0F07">
        <w:t xml:space="preserve"> </w:t>
      </w:r>
      <w:r w:rsidR="00A1020F" w:rsidRPr="000A0F07">
        <w:t>od 91 dan i to u siječnju, kada</w:t>
      </w:r>
      <w:r w:rsidRPr="000A0F07">
        <w:t xml:space="preserve"> se kamatna stopa sa 0,4 posto smanjile na 0,2 posto. Kunska izdanje trezorskih zapisa s rokom od 182 dana bila su u siječnju i kolovozu,  kada je kamata iznosila 0,25 posto dok je potkraj 2016. godine bila 0,30 posto. Kamatne stope na trezorske zapise s valutnom klauzulom s rokom od 364 dana smanjile sa 0,05 na 0,01 posto. Kamatne stope na Euro FX trezorski zapis s rokom od 455 dana smanjile su se sa 0,7 na 0,1 posto.</w:t>
      </w:r>
    </w:p>
    <w:p w:rsidR="00C075DE" w:rsidRPr="000A0F07" w:rsidRDefault="00C075DE" w:rsidP="00C075DE">
      <w:pPr>
        <w:jc w:val="both"/>
      </w:pPr>
    </w:p>
    <w:p w:rsidR="003146B4" w:rsidRPr="000A0F07" w:rsidRDefault="003146B4" w:rsidP="003146B4">
      <w:pPr>
        <w:pStyle w:val="Opisslike"/>
        <w:keepNext/>
        <w:rPr>
          <w:b w:val="0"/>
          <w:i/>
          <w:color w:val="auto"/>
          <w:sz w:val="24"/>
          <w:szCs w:val="24"/>
        </w:rPr>
      </w:pPr>
      <w:r w:rsidRPr="000A0F07">
        <w:rPr>
          <w:b w:val="0"/>
          <w:i/>
          <w:color w:val="auto"/>
          <w:sz w:val="24"/>
          <w:szCs w:val="24"/>
        </w:rPr>
        <w:t xml:space="preserve">Tablica </w:t>
      </w:r>
      <w:r w:rsidRPr="000A0F07">
        <w:rPr>
          <w:b w:val="0"/>
          <w:i/>
          <w:color w:val="auto"/>
          <w:sz w:val="24"/>
          <w:szCs w:val="24"/>
        </w:rPr>
        <w:fldChar w:fldCharType="begin"/>
      </w:r>
      <w:r w:rsidRPr="000A0F07">
        <w:rPr>
          <w:b w:val="0"/>
          <w:i/>
          <w:color w:val="auto"/>
          <w:sz w:val="24"/>
          <w:szCs w:val="24"/>
        </w:rPr>
        <w:instrText xml:space="preserve"> SEQ Tablica \* ARABIC </w:instrText>
      </w:r>
      <w:r w:rsidRPr="000A0F07">
        <w:rPr>
          <w:b w:val="0"/>
          <w:i/>
          <w:color w:val="auto"/>
          <w:sz w:val="24"/>
          <w:szCs w:val="24"/>
        </w:rPr>
        <w:fldChar w:fldCharType="separate"/>
      </w:r>
      <w:r w:rsidR="00E94121">
        <w:rPr>
          <w:b w:val="0"/>
          <w:i/>
          <w:noProof/>
          <w:color w:val="auto"/>
          <w:sz w:val="24"/>
          <w:szCs w:val="24"/>
        </w:rPr>
        <w:t>3</w:t>
      </w:r>
      <w:r w:rsidRPr="000A0F07">
        <w:rPr>
          <w:b w:val="0"/>
          <w:i/>
          <w:color w:val="auto"/>
          <w:sz w:val="24"/>
          <w:szCs w:val="24"/>
        </w:rPr>
        <w:fldChar w:fldCharType="end"/>
      </w:r>
      <w:r w:rsidRPr="000A0F07">
        <w:rPr>
          <w:b w:val="0"/>
          <w:i/>
          <w:color w:val="auto"/>
          <w:sz w:val="24"/>
          <w:szCs w:val="24"/>
        </w:rPr>
        <w:t>. Primici i izdaci po trezorskim zapisima do 31.12.2017.</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160"/>
        <w:gridCol w:w="2000"/>
        <w:gridCol w:w="2000"/>
        <w:gridCol w:w="1760"/>
      </w:tblGrid>
      <w:tr w:rsidR="00C075DE" w:rsidRPr="000A0F07" w:rsidTr="00A9047C">
        <w:trPr>
          <w:trHeight w:val="340"/>
          <w:jc w:val="center"/>
        </w:trPr>
        <w:tc>
          <w:tcPr>
            <w:tcW w:w="1179" w:type="dxa"/>
            <w:tcBorders>
              <w:bottom w:val="single" w:sz="4" w:space="0" w:color="auto"/>
            </w:tcBorders>
            <w:shd w:val="clear" w:color="auto" w:fill="auto"/>
            <w:noWrap/>
            <w:vAlign w:val="center"/>
            <w:hideMark/>
          </w:tcPr>
          <w:p w:rsidR="005E70CF" w:rsidRPr="000A0F07" w:rsidRDefault="005E70CF" w:rsidP="005E70CF">
            <w:pPr>
              <w:jc w:val="center"/>
              <w:rPr>
                <w:b/>
                <w:sz w:val="20"/>
                <w:szCs w:val="20"/>
              </w:rPr>
            </w:pPr>
          </w:p>
          <w:p w:rsidR="00C075DE" w:rsidRPr="000A0F07" w:rsidRDefault="00C075DE" w:rsidP="005E70CF">
            <w:pPr>
              <w:jc w:val="center"/>
              <w:rPr>
                <w:b/>
                <w:sz w:val="20"/>
                <w:szCs w:val="20"/>
              </w:rPr>
            </w:pPr>
            <w:r w:rsidRPr="000A0F07">
              <w:rPr>
                <w:b/>
                <w:sz w:val="20"/>
                <w:szCs w:val="20"/>
              </w:rPr>
              <w:t>Datum</w:t>
            </w:r>
          </w:p>
          <w:p w:rsidR="005E70CF" w:rsidRPr="000A0F07" w:rsidRDefault="005E70CF" w:rsidP="005E70CF">
            <w:pPr>
              <w:jc w:val="center"/>
              <w:rPr>
                <w:b/>
                <w:sz w:val="20"/>
                <w:szCs w:val="20"/>
              </w:rPr>
            </w:pPr>
          </w:p>
        </w:tc>
        <w:tc>
          <w:tcPr>
            <w:tcW w:w="2160" w:type="dxa"/>
            <w:tcBorders>
              <w:bottom w:val="single" w:sz="4" w:space="0" w:color="auto"/>
            </w:tcBorders>
            <w:shd w:val="clear" w:color="auto" w:fill="auto"/>
            <w:noWrap/>
            <w:vAlign w:val="center"/>
            <w:hideMark/>
          </w:tcPr>
          <w:p w:rsidR="00C075DE" w:rsidRPr="000A0F07" w:rsidRDefault="00C075DE" w:rsidP="00C075DE">
            <w:pPr>
              <w:jc w:val="center"/>
              <w:rPr>
                <w:b/>
                <w:sz w:val="20"/>
                <w:szCs w:val="20"/>
              </w:rPr>
            </w:pPr>
            <w:r w:rsidRPr="000A0F07">
              <w:rPr>
                <w:b/>
                <w:sz w:val="20"/>
                <w:szCs w:val="20"/>
              </w:rPr>
              <w:t>Primitak od prodaje</w:t>
            </w:r>
          </w:p>
        </w:tc>
        <w:tc>
          <w:tcPr>
            <w:tcW w:w="2000" w:type="dxa"/>
            <w:tcBorders>
              <w:bottom w:val="single" w:sz="4" w:space="0" w:color="auto"/>
            </w:tcBorders>
            <w:shd w:val="clear" w:color="auto" w:fill="auto"/>
            <w:noWrap/>
            <w:vAlign w:val="center"/>
            <w:hideMark/>
          </w:tcPr>
          <w:p w:rsidR="00C075DE" w:rsidRPr="000A0F07" w:rsidRDefault="00C075DE" w:rsidP="00C075DE">
            <w:pPr>
              <w:jc w:val="center"/>
              <w:rPr>
                <w:b/>
                <w:sz w:val="20"/>
                <w:szCs w:val="20"/>
              </w:rPr>
            </w:pPr>
            <w:r w:rsidRPr="000A0F07">
              <w:rPr>
                <w:b/>
                <w:sz w:val="20"/>
                <w:szCs w:val="20"/>
              </w:rPr>
              <w:t>Iskup zapisa</w:t>
            </w:r>
          </w:p>
        </w:tc>
        <w:tc>
          <w:tcPr>
            <w:tcW w:w="2000" w:type="dxa"/>
            <w:tcBorders>
              <w:bottom w:val="single" w:sz="4" w:space="0" w:color="auto"/>
            </w:tcBorders>
            <w:shd w:val="clear" w:color="auto" w:fill="auto"/>
            <w:noWrap/>
            <w:vAlign w:val="center"/>
            <w:hideMark/>
          </w:tcPr>
          <w:p w:rsidR="00C075DE" w:rsidRPr="000A0F07" w:rsidRDefault="00C075DE" w:rsidP="00C075DE">
            <w:pPr>
              <w:jc w:val="center"/>
              <w:rPr>
                <w:b/>
                <w:sz w:val="20"/>
                <w:szCs w:val="20"/>
              </w:rPr>
            </w:pPr>
            <w:r w:rsidRPr="000A0F07">
              <w:rPr>
                <w:b/>
                <w:sz w:val="20"/>
                <w:szCs w:val="20"/>
              </w:rPr>
              <w:t>Kamata</w:t>
            </w:r>
          </w:p>
        </w:tc>
        <w:tc>
          <w:tcPr>
            <w:tcW w:w="1760" w:type="dxa"/>
            <w:tcBorders>
              <w:bottom w:val="single" w:sz="4" w:space="0" w:color="auto"/>
            </w:tcBorders>
            <w:shd w:val="clear" w:color="auto" w:fill="auto"/>
            <w:noWrap/>
            <w:vAlign w:val="center"/>
            <w:hideMark/>
          </w:tcPr>
          <w:p w:rsidR="00C075DE" w:rsidRPr="000A0F07" w:rsidRDefault="00C075DE" w:rsidP="00C075DE">
            <w:pPr>
              <w:jc w:val="center"/>
              <w:rPr>
                <w:b/>
                <w:sz w:val="20"/>
                <w:szCs w:val="20"/>
              </w:rPr>
            </w:pPr>
            <w:r w:rsidRPr="000A0F07">
              <w:rPr>
                <w:b/>
                <w:sz w:val="20"/>
                <w:szCs w:val="20"/>
              </w:rPr>
              <w:t>Saldo</w:t>
            </w:r>
          </w:p>
        </w:tc>
      </w:tr>
      <w:tr w:rsidR="00C075DE" w:rsidRPr="000A0F07" w:rsidTr="00A9047C">
        <w:trPr>
          <w:trHeight w:val="340"/>
          <w:jc w:val="center"/>
        </w:trPr>
        <w:tc>
          <w:tcPr>
            <w:tcW w:w="1179" w:type="dxa"/>
            <w:tcBorders>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05.01.2017.</w:t>
            </w:r>
          </w:p>
        </w:tc>
        <w:tc>
          <w:tcPr>
            <w:tcW w:w="2160" w:type="dxa"/>
            <w:tcBorders>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1.625.158.750,00</w:t>
            </w:r>
          </w:p>
        </w:tc>
        <w:tc>
          <w:tcPr>
            <w:tcW w:w="2000" w:type="dxa"/>
            <w:tcBorders>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1.557.374.400,00</w:t>
            </w:r>
          </w:p>
        </w:tc>
        <w:tc>
          <w:tcPr>
            <w:tcW w:w="2000" w:type="dxa"/>
            <w:tcBorders>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22.625.600,00</w:t>
            </w:r>
          </w:p>
        </w:tc>
        <w:tc>
          <w:tcPr>
            <w:tcW w:w="1760" w:type="dxa"/>
            <w:tcBorders>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67.784.350,00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26.01.2017.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922.478.400,00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674.098.579,73</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8.930.706,27</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248.379.820,27</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02.02.2017.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795.352.000,00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618.318.980,00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7.681.020,00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177.033.020,00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23.02.2017.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1.488.579.840,00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1.281.135.957,22</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14.196.627,78</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207.443.882,78</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02.03.2017.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1.492.620.000,00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1.485.330.000,00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14.670.000,00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7.290.000,00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09.03.2017.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860.137.920,00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770.430.060,00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7.569.940,00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89.707.860,00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16.03.2017.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298.659.000,00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348.575.040,00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3.424.960,00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-49.916.040,00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30.03.2017.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555.505.740,00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575.317.820,00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5.682.180,00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-19.812.080,00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06.04.2017.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rPr>
                <w:sz w:val="20"/>
                <w:szCs w:val="20"/>
              </w:rPr>
            </w:pPr>
            <w:r w:rsidRPr="000A0F07">
              <w:rPr>
                <w:sz w:val="20"/>
                <w:szCs w:val="20"/>
              </w:rPr>
              <w:t> </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49.975.500,00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24.500,00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-49.975.500,00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27.04.2017.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872.128.080,00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665.589.120,00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6.410.880,00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206.538.960,00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04.05.2017.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407.192.220,00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569.514.500,00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5.485.500,00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-162.322.280,00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25.05.2017.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547.048.254,65</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445.798.851,98</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3.313.708,02</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101.249.402,67</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01.06.2017.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995.580.000,00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676.586.630,00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6.413.370,00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318.993.370,00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08.06.2017.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640.157.940,00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398.225.220,00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3.774.780,00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241.932.720,00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29.06.2017.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643.144.680,00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556.801.500,00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5.198.500,00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86.343.180,00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06.07.2017.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rPr>
                <w:sz w:val="20"/>
                <w:szCs w:val="20"/>
              </w:rPr>
            </w:pPr>
            <w:r w:rsidRPr="000A0F07">
              <w:rPr>
                <w:sz w:val="20"/>
                <w:szCs w:val="20"/>
              </w:rPr>
              <w:t> </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49.930.500,00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69.500,00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-49.930.500,00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24.08.2017.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1.214.671.200,00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1.140.652.510,00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10.347.490,00</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74.018.690,00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31.08.2017.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630.780.317,77</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551.033.122,17</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3.869.265,73</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79.747.195,60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26.10.2017.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1.479.115.213,75</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1.407.757.034,72</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9.861.952,28</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71.358.179,03</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09.11.2017.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11.291.911.615,65</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11.207.573.592,75</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97.791.407,25</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84.338.022,90</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23.11.2017.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1.296.776.000,00</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1.710.946.567,88</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11.735.001,12</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-414.170.567,88</w:t>
            </w:r>
          </w:p>
        </w:tc>
      </w:tr>
      <w:tr w:rsidR="00C075DE" w:rsidRPr="000A0F07" w:rsidTr="00A9047C">
        <w:trPr>
          <w:trHeight w:val="340"/>
          <w:jc w:val="center"/>
        </w:trPr>
        <w:tc>
          <w:tcPr>
            <w:tcW w:w="1179"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30.11.2017.</w:t>
            </w:r>
          </w:p>
        </w:tc>
        <w:tc>
          <w:tcPr>
            <w:tcW w:w="2160" w:type="dxa"/>
            <w:tcBorders>
              <w:top w:val="dotted" w:sz="4" w:space="0" w:color="auto"/>
              <w:bottom w:val="dotted" w:sz="4" w:space="0" w:color="auto"/>
            </w:tcBorders>
            <w:shd w:val="clear" w:color="auto" w:fill="auto"/>
            <w:noWrap/>
            <w:vAlign w:val="bottom"/>
            <w:hideMark/>
          </w:tcPr>
          <w:p w:rsidR="00C075DE" w:rsidRPr="000A0F07" w:rsidRDefault="00C075DE" w:rsidP="00C075DE">
            <w:pPr>
              <w:rPr>
                <w:sz w:val="20"/>
                <w:szCs w:val="20"/>
              </w:rPr>
            </w:pPr>
            <w:r w:rsidRPr="000A0F07">
              <w:rPr>
                <w:sz w:val="20"/>
                <w:szCs w:val="20"/>
              </w:rPr>
              <w:t> </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933.261.811,54</w:t>
            </w:r>
          </w:p>
        </w:tc>
        <w:tc>
          <w:tcPr>
            <w:tcW w:w="200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4.942.101,96</w:t>
            </w:r>
          </w:p>
        </w:tc>
        <w:tc>
          <w:tcPr>
            <w:tcW w:w="1760" w:type="dxa"/>
            <w:tcBorders>
              <w:top w:val="dotted" w:sz="4" w:space="0" w:color="auto"/>
              <w:bottom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-933.261.811,54</w:t>
            </w:r>
          </w:p>
        </w:tc>
      </w:tr>
      <w:tr w:rsidR="00C075DE" w:rsidRPr="000A0F07" w:rsidTr="00A9047C">
        <w:trPr>
          <w:trHeight w:val="340"/>
          <w:jc w:val="center"/>
        </w:trPr>
        <w:tc>
          <w:tcPr>
            <w:tcW w:w="1179" w:type="dxa"/>
            <w:tcBorders>
              <w:top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lastRenderedPageBreak/>
              <w:t>07.12.2017.</w:t>
            </w:r>
          </w:p>
        </w:tc>
        <w:tc>
          <w:tcPr>
            <w:tcW w:w="2160" w:type="dxa"/>
            <w:tcBorders>
              <w:top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673.683.750,00</w:t>
            </w:r>
          </w:p>
        </w:tc>
        <w:tc>
          <w:tcPr>
            <w:tcW w:w="2000" w:type="dxa"/>
            <w:tcBorders>
              <w:top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1.061.164.800,00</w:t>
            </w:r>
          </w:p>
        </w:tc>
        <w:tc>
          <w:tcPr>
            <w:tcW w:w="2000" w:type="dxa"/>
            <w:tcBorders>
              <w:top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6.835.200,00</w:t>
            </w:r>
          </w:p>
        </w:tc>
        <w:tc>
          <w:tcPr>
            <w:tcW w:w="1760" w:type="dxa"/>
            <w:tcBorders>
              <w:top w:val="dotted" w:sz="4" w:space="0" w:color="auto"/>
            </w:tcBorders>
            <w:shd w:val="clear" w:color="auto" w:fill="auto"/>
            <w:noWrap/>
            <w:vAlign w:val="bottom"/>
            <w:hideMark/>
          </w:tcPr>
          <w:p w:rsidR="00C075DE" w:rsidRPr="000A0F07" w:rsidRDefault="00C075DE" w:rsidP="00C075DE">
            <w:pPr>
              <w:jc w:val="right"/>
              <w:rPr>
                <w:sz w:val="20"/>
                <w:szCs w:val="20"/>
              </w:rPr>
            </w:pPr>
            <w:r w:rsidRPr="000A0F07">
              <w:rPr>
                <w:sz w:val="20"/>
                <w:szCs w:val="20"/>
              </w:rPr>
              <w:t>-387.481.050,00</w:t>
            </w:r>
          </w:p>
        </w:tc>
      </w:tr>
      <w:tr w:rsidR="00C075DE" w:rsidRPr="000A0F07" w:rsidTr="001C20CD">
        <w:trPr>
          <w:trHeight w:val="340"/>
          <w:jc w:val="center"/>
        </w:trPr>
        <w:tc>
          <w:tcPr>
            <w:tcW w:w="1179" w:type="dxa"/>
            <w:shd w:val="clear" w:color="auto" w:fill="auto"/>
            <w:noWrap/>
            <w:vAlign w:val="bottom"/>
            <w:hideMark/>
          </w:tcPr>
          <w:p w:rsidR="00C075DE" w:rsidRPr="000A0F07" w:rsidRDefault="001C20CD" w:rsidP="001C20CD">
            <w:pPr>
              <w:jc w:val="right"/>
              <w:rPr>
                <w:sz w:val="20"/>
                <w:szCs w:val="20"/>
              </w:rPr>
            </w:pPr>
            <w:r w:rsidRPr="000A0F07">
              <w:rPr>
                <w:sz w:val="20"/>
                <w:szCs w:val="20"/>
              </w:rPr>
              <w:t>Ukupno:</w:t>
            </w:r>
            <w:r w:rsidR="00C075DE" w:rsidRPr="000A0F07">
              <w:rPr>
                <w:sz w:val="20"/>
                <w:szCs w:val="20"/>
              </w:rPr>
              <w:t> </w:t>
            </w:r>
          </w:p>
        </w:tc>
        <w:tc>
          <w:tcPr>
            <w:tcW w:w="2160" w:type="dxa"/>
            <w:shd w:val="clear" w:color="auto" w:fill="auto"/>
            <w:noWrap/>
            <w:vAlign w:val="bottom"/>
            <w:hideMark/>
          </w:tcPr>
          <w:p w:rsidR="00C075DE" w:rsidRPr="000A0F07" w:rsidRDefault="00C075DE" w:rsidP="00C075DE">
            <w:pPr>
              <w:jc w:val="right"/>
              <w:rPr>
                <w:b/>
                <w:bCs/>
                <w:sz w:val="20"/>
                <w:szCs w:val="20"/>
              </w:rPr>
            </w:pPr>
            <w:r w:rsidRPr="000A0F07">
              <w:rPr>
                <w:b/>
                <w:bCs/>
                <w:sz w:val="20"/>
                <w:szCs w:val="20"/>
              </w:rPr>
              <w:t>28.730.680.921,82</w:t>
            </w:r>
          </w:p>
        </w:tc>
        <w:tc>
          <w:tcPr>
            <w:tcW w:w="2000" w:type="dxa"/>
            <w:shd w:val="clear" w:color="auto" w:fill="auto"/>
            <w:noWrap/>
            <w:vAlign w:val="bottom"/>
            <w:hideMark/>
          </w:tcPr>
          <w:p w:rsidR="00C075DE" w:rsidRPr="000A0F07" w:rsidRDefault="00C075DE" w:rsidP="00C075DE">
            <w:pPr>
              <w:jc w:val="right"/>
              <w:rPr>
                <w:b/>
                <w:bCs/>
                <w:sz w:val="20"/>
                <w:szCs w:val="20"/>
              </w:rPr>
            </w:pPr>
            <w:r w:rsidRPr="000A0F07">
              <w:rPr>
                <w:b/>
                <w:bCs/>
                <w:sz w:val="20"/>
                <w:szCs w:val="20"/>
              </w:rPr>
              <w:t>28.735.392.097,99</w:t>
            </w:r>
          </w:p>
        </w:tc>
        <w:tc>
          <w:tcPr>
            <w:tcW w:w="2000" w:type="dxa"/>
            <w:shd w:val="clear" w:color="auto" w:fill="auto"/>
            <w:noWrap/>
            <w:vAlign w:val="bottom"/>
            <w:hideMark/>
          </w:tcPr>
          <w:p w:rsidR="00C075DE" w:rsidRPr="000A0F07" w:rsidRDefault="00C075DE" w:rsidP="00C075DE">
            <w:pPr>
              <w:jc w:val="right"/>
              <w:rPr>
                <w:b/>
                <w:bCs/>
                <w:sz w:val="20"/>
                <w:szCs w:val="20"/>
              </w:rPr>
            </w:pPr>
            <w:r w:rsidRPr="000A0F07">
              <w:rPr>
                <w:b/>
                <w:bCs/>
                <w:sz w:val="20"/>
                <w:szCs w:val="20"/>
              </w:rPr>
              <w:t>260.854.190,41</w:t>
            </w:r>
          </w:p>
        </w:tc>
        <w:tc>
          <w:tcPr>
            <w:tcW w:w="1760" w:type="dxa"/>
            <w:shd w:val="clear" w:color="auto" w:fill="auto"/>
            <w:noWrap/>
            <w:vAlign w:val="bottom"/>
            <w:hideMark/>
          </w:tcPr>
          <w:p w:rsidR="00C075DE" w:rsidRPr="000A0F07" w:rsidRDefault="00C075DE" w:rsidP="00C075DE">
            <w:pPr>
              <w:jc w:val="right"/>
              <w:rPr>
                <w:b/>
                <w:bCs/>
                <w:sz w:val="20"/>
                <w:szCs w:val="20"/>
              </w:rPr>
            </w:pPr>
            <w:r w:rsidRPr="000A0F07">
              <w:rPr>
                <w:b/>
                <w:bCs/>
                <w:sz w:val="20"/>
                <w:szCs w:val="20"/>
              </w:rPr>
              <w:t>-4.711.176,17</w:t>
            </w:r>
          </w:p>
        </w:tc>
      </w:tr>
    </w:tbl>
    <w:p w:rsidR="00C075DE" w:rsidRPr="000A0F07" w:rsidRDefault="00C075DE" w:rsidP="00C075DE"/>
    <w:p w:rsidR="009B0A2C" w:rsidRPr="000A0F07" w:rsidRDefault="009B0A2C" w:rsidP="004058A0">
      <w:pPr>
        <w:tabs>
          <w:tab w:val="left" w:pos="0"/>
        </w:tabs>
        <w:jc w:val="both"/>
        <w:rPr>
          <w:b/>
          <w:u w:val="single"/>
        </w:rPr>
      </w:pPr>
    </w:p>
    <w:p w:rsidR="004058A0" w:rsidRPr="000A0F07" w:rsidRDefault="00BA6D1C" w:rsidP="00C83AB5">
      <w:pPr>
        <w:pStyle w:val="Odlomakpopisa"/>
        <w:numPr>
          <w:ilvl w:val="0"/>
          <w:numId w:val="5"/>
        </w:numPr>
        <w:tabs>
          <w:tab w:val="left" w:pos="0"/>
        </w:tabs>
        <w:jc w:val="both"/>
        <w:rPr>
          <w:b/>
          <w:i/>
        </w:rPr>
      </w:pPr>
      <w:r w:rsidRPr="000A0F07">
        <w:rPr>
          <w:b/>
          <w:i/>
        </w:rPr>
        <w:t>Zaduživanje putem kratkoročnih kredita</w:t>
      </w:r>
    </w:p>
    <w:p w:rsidR="00B36969" w:rsidRPr="000A0F07" w:rsidRDefault="00B36969" w:rsidP="004058A0">
      <w:pPr>
        <w:tabs>
          <w:tab w:val="left" w:pos="0"/>
        </w:tabs>
        <w:jc w:val="both"/>
        <w:rPr>
          <w:b/>
        </w:rPr>
      </w:pPr>
    </w:p>
    <w:p w:rsidR="00B36969" w:rsidRPr="000A0F07" w:rsidRDefault="00B36969" w:rsidP="00B36969">
      <w:pPr>
        <w:pStyle w:val="Opisslike"/>
        <w:keepNext/>
        <w:rPr>
          <w:b w:val="0"/>
          <w:i/>
          <w:color w:val="auto"/>
          <w:sz w:val="24"/>
          <w:szCs w:val="24"/>
        </w:rPr>
      </w:pPr>
      <w:r w:rsidRPr="000A0F07">
        <w:rPr>
          <w:b w:val="0"/>
          <w:i/>
          <w:color w:val="auto"/>
          <w:sz w:val="24"/>
          <w:szCs w:val="24"/>
        </w:rPr>
        <w:t xml:space="preserve">Tablica </w:t>
      </w:r>
      <w:r w:rsidRPr="000A0F07">
        <w:rPr>
          <w:b w:val="0"/>
          <w:i/>
          <w:color w:val="auto"/>
          <w:sz w:val="24"/>
          <w:szCs w:val="24"/>
        </w:rPr>
        <w:fldChar w:fldCharType="begin"/>
      </w:r>
      <w:r w:rsidRPr="000A0F07">
        <w:rPr>
          <w:b w:val="0"/>
          <w:i/>
          <w:color w:val="auto"/>
          <w:sz w:val="24"/>
          <w:szCs w:val="24"/>
        </w:rPr>
        <w:instrText xml:space="preserve"> SEQ Tablica \* ARABIC </w:instrText>
      </w:r>
      <w:r w:rsidRPr="000A0F07">
        <w:rPr>
          <w:b w:val="0"/>
          <w:i/>
          <w:color w:val="auto"/>
          <w:sz w:val="24"/>
          <w:szCs w:val="24"/>
        </w:rPr>
        <w:fldChar w:fldCharType="separate"/>
      </w:r>
      <w:r w:rsidR="00E94121">
        <w:rPr>
          <w:b w:val="0"/>
          <w:i/>
          <w:noProof/>
          <w:color w:val="auto"/>
          <w:sz w:val="24"/>
          <w:szCs w:val="24"/>
        </w:rPr>
        <w:t>4</w:t>
      </w:r>
      <w:r w:rsidRPr="000A0F07">
        <w:rPr>
          <w:b w:val="0"/>
          <w:i/>
          <w:color w:val="auto"/>
          <w:sz w:val="24"/>
          <w:szCs w:val="24"/>
        </w:rPr>
        <w:fldChar w:fldCharType="end"/>
      </w:r>
      <w:r w:rsidRPr="000A0F07">
        <w:rPr>
          <w:b w:val="0"/>
          <w:i/>
          <w:color w:val="auto"/>
          <w:sz w:val="24"/>
          <w:szCs w:val="24"/>
        </w:rPr>
        <w:t>. Stanje kratkoročnih kredita na dan 31. prosinca 2017.</w:t>
      </w:r>
    </w:p>
    <w:tbl>
      <w:tblPr>
        <w:tblW w:w="9077" w:type="dxa"/>
        <w:jc w:val="center"/>
        <w:tblInd w:w="429" w:type="dxa"/>
        <w:tblLook w:val="04A0" w:firstRow="1" w:lastRow="0" w:firstColumn="1" w:lastColumn="0" w:noHBand="0" w:noVBand="1"/>
      </w:tblPr>
      <w:tblGrid>
        <w:gridCol w:w="2112"/>
        <w:gridCol w:w="1716"/>
        <w:gridCol w:w="1732"/>
        <w:gridCol w:w="1716"/>
        <w:gridCol w:w="1801"/>
      </w:tblGrid>
      <w:tr w:rsidR="000A0F07" w:rsidRPr="000A0F07" w:rsidTr="000A0F07">
        <w:trPr>
          <w:trHeight w:val="300"/>
          <w:jc w:val="center"/>
        </w:trPr>
        <w:tc>
          <w:tcPr>
            <w:tcW w:w="21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6D1C" w:rsidRPr="000A0F07" w:rsidRDefault="00BA6D1C" w:rsidP="00BA6D1C">
            <w:pPr>
              <w:rPr>
                <w:b/>
                <w:bCs/>
                <w:sz w:val="20"/>
                <w:szCs w:val="20"/>
              </w:rPr>
            </w:pPr>
            <w:r w:rsidRPr="000A0F07">
              <w:rPr>
                <w:b/>
                <w:bCs/>
                <w:sz w:val="20"/>
                <w:szCs w:val="20"/>
              </w:rPr>
              <w:t>SALDO 31.12.2016.</w:t>
            </w:r>
          </w:p>
        </w:tc>
        <w:tc>
          <w:tcPr>
            <w:tcW w:w="1716" w:type="dxa"/>
            <w:tcBorders>
              <w:top w:val="nil"/>
              <w:left w:val="nil"/>
              <w:bottom w:val="nil"/>
              <w:right w:val="nil"/>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716"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801"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r>
      <w:tr w:rsidR="000A0F07" w:rsidRPr="000A0F07" w:rsidTr="000A0F07">
        <w:trPr>
          <w:trHeight w:val="525"/>
          <w:jc w:val="center"/>
        </w:trPr>
        <w:tc>
          <w:tcPr>
            <w:tcW w:w="2112" w:type="dxa"/>
            <w:tcBorders>
              <w:top w:val="nil"/>
              <w:left w:val="single" w:sz="8" w:space="0" w:color="auto"/>
              <w:bottom w:val="single" w:sz="8" w:space="0" w:color="auto"/>
              <w:right w:val="single" w:sz="8" w:space="0" w:color="auto"/>
            </w:tcBorders>
            <w:shd w:val="clear" w:color="auto" w:fill="auto"/>
            <w:noWrap/>
            <w:vAlign w:val="center"/>
            <w:hideMark/>
          </w:tcPr>
          <w:p w:rsidR="00BA6D1C" w:rsidRPr="000A0F07" w:rsidRDefault="00BA6D1C" w:rsidP="00BA6D1C">
            <w:pPr>
              <w:rPr>
                <w:b/>
                <w:bCs/>
                <w:sz w:val="20"/>
                <w:szCs w:val="20"/>
              </w:rPr>
            </w:pPr>
            <w:r w:rsidRPr="000A0F07">
              <w:rPr>
                <w:b/>
                <w:bCs/>
                <w:sz w:val="20"/>
                <w:szCs w:val="20"/>
              </w:rPr>
              <w:t>MJESEC</w:t>
            </w: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BA6D1C" w:rsidRPr="000A0F07" w:rsidRDefault="00BA6D1C" w:rsidP="00BA6D1C">
            <w:pPr>
              <w:jc w:val="center"/>
              <w:rPr>
                <w:b/>
                <w:bCs/>
                <w:sz w:val="20"/>
                <w:szCs w:val="20"/>
              </w:rPr>
            </w:pPr>
            <w:r w:rsidRPr="000A0F07">
              <w:rPr>
                <w:b/>
                <w:bCs/>
                <w:sz w:val="20"/>
                <w:szCs w:val="20"/>
              </w:rPr>
              <w:t>PRIMLJENI KREDIT</w:t>
            </w:r>
          </w:p>
        </w:tc>
        <w:tc>
          <w:tcPr>
            <w:tcW w:w="1732" w:type="dxa"/>
            <w:tcBorders>
              <w:top w:val="single" w:sz="8" w:space="0" w:color="auto"/>
              <w:left w:val="nil"/>
              <w:bottom w:val="single" w:sz="8" w:space="0" w:color="auto"/>
              <w:right w:val="single" w:sz="8" w:space="0" w:color="auto"/>
            </w:tcBorders>
            <w:shd w:val="clear" w:color="auto" w:fill="auto"/>
            <w:vAlign w:val="center"/>
            <w:hideMark/>
          </w:tcPr>
          <w:p w:rsidR="00BA6D1C" w:rsidRPr="000A0F07" w:rsidRDefault="00BA6D1C" w:rsidP="00BA6D1C">
            <w:pPr>
              <w:jc w:val="center"/>
              <w:rPr>
                <w:b/>
                <w:bCs/>
                <w:sz w:val="20"/>
                <w:szCs w:val="20"/>
              </w:rPr>
            </w:pPr>
            <w:r w:rsidRPr="000A0F07">
              <w:rPr>
                <w:b/>
                <w:bCs/>
                <w:sz w:val="20"/>
                <w:szCs w:val="20"/>
              </w:rPr>
              <w:t>VRAĆENI KREDIT</w:t>
            </w: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BA6D1C" w:rsidRPr="000A0F07" w:rsidRDefault="00BA6D1C" w:rsidP="00BA6D1C">
            <w:pPr>
              <w:jc w:val="center"/>
              <w:rPr>
                <w:b/>
                <w:bCs/>
                <w:sz w:val="20"/>
                <w:szCs w:val="20"/>
              </w:rPr>
            </w:pPr>
            <w:r w:rsidRPr="000A0F07">
              <w:rPr>
                <w:b/>
                <w:bCs/>
                <w:sz w:val="20"/>
                <w:szCs w:val="20"/>
              </w:rPr>
              <w:t xml:space="preserve">SALDO </w:t>
            </w:r>
            <w:r w:rsidRPr="000A0F07">
              <w:rPr>
                <w:b/>
                <w:bCs/>
                <w:sz w:val="20"/>
                <w:szCs w:val="20"/>
              </w:rPr>
              <w:br/>
              <w:t>kraj mjeseca 2017.</w:t>
            </w:r>
          </w:p>
        </w:tc>
        <w:tc>
          <w:tcPr>
            <w:tcW w:w="1801" w:type="dxa"/>
            <w:tcBorders>
              <w:top w:val="single" w:sz="8" w:space="0" w:color="auto"/>
              <w:left w:val="nil"/>
              <w:bottom w:val="single" w:sz="8" w:space="0" w:color="auto"/>
              <w:right w:val="single" w:sz="8" w:space="0" w:color="auto"/>
            </w:tcBorders>
            <w:shd w:val="clear" w:color="auto" w:fill="auto"/>
            <w:vAlign w:val="center"/>
            <w:hideMark/>
          </w:tcPr>
          <w:p w:rsidR="00BA6D1C" w:rsidRPr="000A0F07" w:rsidRDefault="00BA6D1C" w:rsidP="00BA6D1C">
            <w:pPr>
              <w:jc w:val="center"/>
              <w:rPr>
                <w:b/>
                <w:bCs/>
                <w:sz w:val="20"/>
                <w:szCs w:val="20"/>
              </w:rPr>
            </w:pPr>
            <w:r w:rsidRPr="000A0F07">
              <w:rPr>
                <w:b/>
                <w:bCs/>
                <w:sz w:val="20"/>
                <w:szCs w:val="20"/>
              </w:rPr>
              <w:t>NETO FINANCIRANJE</w:t>
            </w:r>
          </w:p>
        </w:tc>
      </w:tr>
      <w:tr w:rsidR="000A0F07" w:rsidRPr="000A0F07" w:rsidTr="000A0F07">
        <w:trPr>
          <w:trHeight w:val="288"/>
          <w:jc w:val="center"/>
        </w:trPr>
        <w:tc>
          <w:tcPr>
            <w:tcW w:w="2112" w:type="dxa"/>
            <w:tcBorders>
              <w:top w:val="single" w:sz="8"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Siječanj</w:t>
            </w:r>
          </w:p>
        </w:tc>
        <w:tc>
          <w:tcPr>
            <w:tcW w:w="1716" w:type="dxa"/>
            <w:tcBorders>
              <w:top w:val="single" w:sz="8"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2.193.606.515,40</w:t>
            </w:r>
          </w:p>
        </w:tc>
        <w:tc>
          <w:tcPr>
            <w:tcW w:w="1732" w:type="dxa"/>
            <w:tcBorders>
              <w:top w:val="single" w:sz="8"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2.193.606.515,40</w:t>
            </w:r>
          </w:p>
        </w:tc>
        <w:tc>
          <w:tcPr>
            <w:tcW w:w="1716" w:type="dxa"/>
            <w:tcBorders>
              <w:top w:val="single" w:sz="8"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single" w:sz="8"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Veljača</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Ožujak</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1.496.463.009,54</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1.496.463.009,54</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Travanj</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2.407.330.108,04</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2.295.440.758,04</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111.889.350,00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111.889.350,00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Svibanj</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1.300.000.000,00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1.300.000.000,00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111.889.350,00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Lipanj</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2.567.836.011,65</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2.379.725.361,65</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300.000.000,00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188.110.650,00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Srpanj</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600.000.000,00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600.000.000,00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300.000.000,00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Kolovoz</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300.000.000,00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-300.000.000,00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Rujan</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Listopad</w:t>
            </w:r>
          </w:p>
        </w:tc>
        <w:tc>
          <w:tcPr>
            <w:tcW w:w="1716" w:type="dxa"/>
            <w:tcBorders>
              <w:top w:val="dotted" w:sz="4" w:space="0" w:color="auto"/>
              <w:left w:val="nil"/>
              <w:bottom w:val="dotted" w:sz="4" w:space="0" w:color="auto"/>
              <w:right w:val="nil"/>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Studeni</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300"/>
          <w:jc w:val="center"/>
        </w:trPr>
        <w:tc>
          <w:tcPr>
            <w:tcW w:w="2112" w:type="dxa"/>
            <w:tcBorders>
              <w:top w:val="dotted" w:sz="4" w:space="0" w:color="auto"/>
              <w:left w:val="single" w:sz="4" w:space="0" w:color="auto"/>
              <w:bottom w:val="single" w:sz="8"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Prosinac</w:t>
            </w:r>
          </w:p>
        </w:tc>
        <w:tc>
          <w:tcPr>
            <w:tcW w:w="1716" w:type="dxa"/>
            <w:tcBorders>
              <w:top w:val="dotted" w:sz="4" w:space="0" w:color="auto"/>
              <w:left w:val="nil"/>
              <w:bottom w:val="single" w:sz="8" w:space="0" w:color="auto"/>
              <w:right w:val="nil"/>
            </w:tcBorders>
            <w:shd w:val="clear" w:color="auto" w:fill="auto"/>
            <w:noWrap/>
            <w:vAlign w:val="bottom"/>
            <w:hideMark/>
          </w:tcPr>
          <w:p w:rsidR="00BA6D1C" w:rsidRPr="000A0F07" w:rsidRDefault="00BA6D1C" w:rsidP="00BA6D1C">
            <w:pPr>
              <w:jc w:val="right"/>
              <w:rPr>
                <w:sz w:val="20"/>
                <w:szCs w:val="20"/>
              </w:rPr>
            </w:pPr>
            <w:r w:rsidRPr="000A0F07">
              <w:rPr>
                <w:sz w:val="20"/>
                <w:szCs w:val="20"/>
              </w:rPr>
              <w:t>1.122.009.281,89</w:t>
            </w:r>
          </w:p>
        </w:tc>
        <w:tc>
          <w:tcPr>
            <w:tcW w:w="1732" w:type="dxa"/>
            <w:tcBorders>
              <w:top w:val="dotted" w:sz="4" w:space="0" w:color="auto"/>
              <w:left w:val="single" w:sz="4" w:space="0" w:color="auto"/>
              <w:bottom w:val="single" w:sz="8"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1.122.009.281,89</w:t>
            </w:r>
          </w:p>
        </w:tc>
        <w:tc>
          <w:tcPr>
            <w:tcW w:w="1716" w:type="dxa"/>
            <w:tcBorders>
              <w:top w:val="dotted" w:sz="4" w:space="0" w:color="auto"/>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801" w:type="dxa"/>
            <w:tcBorders>
              <w:top w:val="dotted" w:sz="4"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300"/>
          <w:jc w:val="center"/>
        </w:trPr>
        <w:tc>
          <w:tcPr>
            <w:tcW w:w="21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6D1C" w:rsidRPr="000A0F07" w:rsidRDefault="00BA6D1C" w:rsidP="00BA6D1C">
            <w:pPr>
              <w:rPr>
                <w:b/>
                <w:bCs/>
                <w:sz w:val="20"/>
                <w:szCs w:val="20"/>
              </w:rPr>
            </w:pPr>
            <w:r w:rsidRPr="000A0F07">
              <w:rPr>
                <w:b/>
                <w:bCs/>
                <w:sz w:val="20"/>
                <w:szCs w:val="20"/>
              </w:rPr>
              <w:t>UKUPNO:</w:t>
            </w:r>
          </w:p>
        </w:tc>
        <w:tc>
          <w:tcPr>
            <w:tcW w:w="1716"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11.687.244.926,52</w:t>
            </w:r>
          </w:p>
        </w:tc>
        <w:tc>
          <w:tcPr>
            <w:tcW w:w="1732"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11.687.244.926,52</w:t>
            </w:r>
          </w:p>
        </w:tc>
        <w:tc>
          <w:tcPr>
            <w:tcW w:w="1716"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 </w:t>
            </w:r>
          </w:p>
        </w:tc>
        <w:tc>
          <w:tcPr>
            <w:tcW w:w="1801"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300"/>
          <w:jc w:val="center"/>
        </w:trPr>
        <w:tc>
          <w:tcPr>
            <w:tcW w:w="2112"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716"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732"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716"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801"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r>
      <w:tr w:rsidR="000A0F07" w:rsidRPr="000A0F07" w:rsidTr="000A0F07">
        <w:trPr>
          <w:trHeight w:val="525"/>
          <w:jc w:val="center"/>
        </w:trPr>
        <w:tc>
          <w:tcPr>
            <w:tcW w:w="21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6D1C" w:rsidRPr="000A0F07" w:rsidRDefault="00BA6D1C" w:rsidP="00BA6D1C">
            <w:pPr>
              <w:rPr>
                <w:b/>
                <w:bCs/>
                <w:sz w:val="20"/>
                <w:szCs w:val="20"/>
              </w:rPr>
            </w:pPr>
            <w:r w:rsidRPr="000A0F07">
              <w:rPr>
                <w:b/>
                <w:bCs/>
                <w:sz w:val="20"/>
                <w:szCs w:val="20"/>
              </w:rPr>
              <w:t>BANKA</w:t>
            </w: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BA6D1C" w:rsidRPr="000A0F07" w:rsidRDefault="00BA6D1C" w:rsidP="00BA6D1C">
            <w:pPr>
              <w:jc w:val="center"/>
              <w:rPr>
                <w:b/>
                <w:bCs/>
                <w:sz w:val="20"/>
                <w:szCs w:val="20"/>
              </w:rPr>
            </w:pPr>
            <w:r w:rsidRPr="000A0F07">
              <w:rPr>
                <w:b/>
                <w:bCs/>
                <w:sz w:val="20"/>
                <w:szCs w:val="20"/>
              </w:rPr>
              <w:t>SALDO 31.12.2016.</w:t>
            </w:r>
          </w:p>
        </w:tc>
        <w:tc>
          <w:tcPr>
            <w:tcW w:w="1732" w:type="dxa"/>
            <w:tcBorders>
              <w:top w:val="single" w:sz="8" w:space="0" w:color="auto"/>
              <w:left w:val="nil"/>
              <w:bottom w:val="single" w:sz="8" w:space="0" w:color="auto"/>
              <w:right w:val="single" w:sz="8" w:space="0" w:color="auto"/>
            </w:tcBorders>
            <w:shd w:val="clear" w:color="auto" w:fill="auto"/>
            <w:vAlign w:val="center"/>
            <w:hideMark/>
          </w:tcPr>
          <w:p w:rsidR="00BA6D1C" w:rsidRPr="000A0F07" w:rsidRDefault="00BA6D1C" w:rsidP="00BA6D1C">
            <w:pPr>
              <w:jc w:val="center"/>
              <w:rPr>
                <w:b/>
                <w:bCs/>
                <w:sz w:val="20"/>
                <w:szCs w:val="20"/>
              </w:rPr>
            </w:pPr>
            <w:r w:rsidRPr="000A0F07">
              <w:rPr>
                <w:b/>
                <w:bCs/>
                <w:sz w:val="20"/>
                <w:szCs w:val="20"/>
              </w:rPr>
              <w:t>PRIMLJENI KREDIT</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rsidR="00BA6D1C" w:rsidRPr="000A0F07" w:rsidRDefault="00BA6D1C" w:rsidP="00BA6D1C">
            <w:pPr>
              <w:jc w:val="center"/>
              <w:rPr>
                <w:b/>
                <w:bCs/>
                <w:sz w:val="20"/>
                <w:szCs w:val="20"/>
              </w:rPr>
            </w:pPr>
            <w:r w:rsidRPr="000A0F07">
              <w:rPr>
                <w:b/>
                <w:bCs/>
                <w:sz w:val="20"/>
                <w:szCs w:val="20"/>
              </w:rPr>
              <w:t>VRAĆENI KREDIT</w:t>
            </w:r>
          </w:p>
        </w:tc>
        <w:tc>
          <w:tcPr>
            <w:tcW w:w="1801" w:type="dxa"/>
            <w:tcBorders>
              <w:top w:val="single" w:sz="8" w:space="0" w:color="auto"/>
              <w:left w:val="nil"/>
              <w:bottom w:val="single" w:sz="8" w:space="0" w:color="auto"/>
              <w:right w:val="single" w:sz="8" w:space="0" w:color="auto"/>
            </w:tcBorders>
            <w:shd w:val="clear" w:color="auto" w:fill="auto"/>
            <w:vAlign w:val="center"/>
            <w:hideMark/>
          </w:tcPr>
          <w:p w:rsidR="00BA6D1C" w:rsidRPr="000A0F07" w:rsidRDefault="00BA6D1C" w:rsidP="00BA6D1C">
            <w:pPr>
              <w:jc w:val="center"/>
              <w:rPr>
                <w:b/>
                <w:bCs/>
                <w:sz w:val="20"/>
                <w:szCs w:val="20"/>
              </w:rPr>
            </w:pPr>
            <w:r w:rsidRPr="000A0F07">
              <w:rPr>
                <w:b/>
                <w:bCs/>
                <w:sz w:val="20"/>
                <w:szCs w:val="20"/>
              </w:rPr>
              <w:t>SALDO 31.12.2017.</w:t>
            </w:r>
          </w:p>
        </w:tc>
      </w:tr>
      <w:tr w:rsidR="000A0F07" w:rsidRPr="000A0F07" w:rsidTr="000A0F07">
        <w:trPr>
          <w:trHeight w:val="288"/>
          <w:jc w:val="center"/>
        </w:trPr>
        <w:tc>
          <w:tcPr>
            <w:tcW w:w="2112" w:type="dxa"/>
            <w:tcBorders>
              <w:top w:val="single" w:sz="8"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Zagrebačka banka d.d.</w:t>
            </w:r>
          </w:p>
        </w:tc>
        <w:tc>
          <w:tcPr>
            <w:tcW w:w="1716" w:type="dxa"/>
            <w:tcBorders>
              <w:top w:val="single" w:sz="8"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single" w:sz="8"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3.084.989.382,15</w:t>
            </w:r>
          </w:p>
        </w:tc>
        <w:tc>
          <w:tcPr>
            <w:tcW w:w="1716" w:type="dxa"/>
            <w:tcBorders>
              <w:top w:val="single" w:sz="8"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3.084.989.382,15</w:t>
            </w:r>
          </w:p>
        </w:tc>
        <w:tc>
          <w:tcPr>
            <w:tcW w:w="1801" w:type="dxa"/>
            <w:tcBorders>
              <w:top w:val="single" w:sz="8"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Privredna banka Zagreb d.d.</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2.289.299.040,15</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2.289.299.040,15</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nil"/>
            </w:tcBorders>
            <w:shd w:val="clear" w:color="auto" w:fill="auto"/>
            <w:noWrap/>
            <w:vAlign w:val="bottom"/>
            <w:hideMark/>
          </w:tcPr>
          <w:p w:rsidR="00BA6D1C" w:rsidRPr="000A0F07" w:rsidRDefault="00BA6D1C" w:rsidP="00BA6D1C">
            <w:pPr>
              <w:rPr>
                <w:sz w:val="20"/>
                <w:szCs w:val="20"/>
              </w:rPr>
            </w:pPr>
            <w:r w:rsidRPr="000A0F07">
              <w:rPr>
                <w:sz w:val="20"/>
                <w:szCs w:val="20"/>
              </w:rPr>
              <w:t>Erste&amp;</w:t>
            </w:r>
            <w:proofErr w:type="spellStart"/>
            <w:r w:rsidRPr="000A0F07">
              <w:rPr>
                <w:sz w:val="20"/>
                <w:szCs w:val="20"/>
              </w:rPr>
              <w:t>Steiermärkische</w:t>
            </w:r>
            <w:proofErr w:type="spellEnd"/>
            <w:r w:rsidRPr="000A0F07">
              <w:rPr>
                <w:sz w:val="20"/>
                <w:szCs w:val="20"/>
              </w:rPr>
              <w:t xml:space="preserve"> Bank d.d.</w:t>
            </w:r>
          </w:p>
        </w:tc>
        <w:tc>
          <w:tcPr>
            <w:tcW w:w="1716"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2.300.762.181,26</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2.300.762.181,26</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Splitska banka d.d.</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1.750.000.000,00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1.750.000.000,00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Istarska kreditna banka Umag d.d.</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204.914.437,10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204.914.437,10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Podravska banka d.d.</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32.732.333,93</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32.732.333,93</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Slatinska banka d.d.</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36.658.201,93</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36.658.201,93</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proofErr w:type="spellStart"/>
            <w:r w:rsidRPr="000A0F07">
              <w:rPr>
                <w:sz w:val="20"/>
                <w:szCs w:val="20"/>
              </w:rPr>
              <w:t>Raiffeisenbank</w:t>
            </w:r>
            <w:proofErr w:type="spellEnd"/>
            <w:r w:rsidRPr="000A0F07">
              <w:rPr>
                <w:sz w:val="20"/>
                <w:szCs w:val="20"/>
              </w:rPr>
              <w:t xml:space="preserve"> </w:t>
            </w:r>
            <w:proofErr w:type="spellStart"/>
            <w:r w:rsidRPr="000A0F07">
              <w:rPr>
                <w:sz w:val="20"/>
                <w:szCs w:val="20"/>
              </w:rPr>
              <w:t>Austria</w:t>
            </w:r>
            <w:proofErr w:type="spellEnd"/>
            <w:r w:rsidRPr="000A0F07">
              <w:rPr>
                <w:sz w:val="20"/>
                <w:szCs w:val="20"/>
              </w:rPr>
              <w:t xml:space="preserve"> d.d.</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511.000.000,00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511.000.000,00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288"/>
          <w:jc w:val="center"/>
        </w:trPr>
        <w:tc>
          <w:tcPr>
            <w:tcW w:w="2112"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OTP Banka Hrvatska d.d.</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200.000.000,00</w:t>
            </w:r>
          </w:p>
        </w:tc>
        <w:tc>
          <w:tcPr>
            <w:tcW w:w="1716" w:type="dxa"/>
            <w:tcBorders>
              <w:top w:val="dotted" w:sz="4" w:space="0" w:color="auto"/>
              <w:left w:val="nil"/>
              <w:bottom w:val="dotted" w:sz="4"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200.000.000,00</w:t>
            </w:r>
          </w:p>
        </w:tc>
        <w:tc>
          <w:tcPr>
            <w:tcW w:w="1801" w:type="dxa"/>
            <w:tcBorders>
              <w:top w:val="dotted" w:sz="4" w:space="0" w:color="auto"/>
              <w:left w:val="nil"/>
              <w:bottom w:val="dotted" w:sz="4"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300"/>
          <w:jc w:val="center"/>
        </w:trPr>
        <w:tc>
          <w:tcPr>
            <w:tcW w:w="2112" w:type="dxa"/>
            <w:tcBorders>
              <w:top w:val="dotted" w:sz="4" w:space="0" w:color="auto"/>
              <w:left w:val="single" w:sz="4" w:space="0" w:color="auto"/>
              <w:bottom w:val="single" w:sz="8" w:space="0" w:color="auto"/>
              <w:right w:val="single" w:sz="8" w:space="0" w:color="auto"/>
            </w:tcBorders>
            <w:shd w:val="clear" w:color="auto" w:fill="auto"/>
            <w:noWrap/>
            <w:vAlign w:val="bottom"/>
            <w:hideMark/>
          </w:tcPr>
          <w:p w:rsidR="00BA6D1C" w:rsidRPr="000A0F07" w:rsidRDefault="00BA6D1C" w:rsidP="00BA6D1C">
            <w:pPr>
              <w:rPr>
                <w:sz w:val="20"/>
                <w:szCs w:val="20"/>
              </w:rPr>
            </w:pPr>
            <w:proofErr w:type="spellStart"/>
            <w:r w:rsidRPr="000A0F07">
              <w:rPr>
                <w:sz w:val="20"/>
                <w:szCs w:val="20"/>
              </w:rPr>
              <w:t>Štedbanka</w:t>
            </w:r>
            <w:proofErr w:type="spellEnd"/>
            <w:r w:rsidRPr="000A0F07">
              <w:rPr>
                <w:sz w:val="20"/>
                <w:szCs w:val="20"/>
              </w:rPr>
              <w:t xml:space="preserve"> d.d.</w:t>
            </w:r>
          </w:p>
        </w:tc>
        <w:tc>
          <w:tcPr>
            <w:tcW w:w="1716" w:type="dxa"/>
            <w:tcBorders>
              <w:top w:val="dotted" w:sz="4" w:space="0" w:color="auto"/>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dotted" w:sz="4" w:space="0" w:color="auto"/>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95.000.000,00</w:t>
            </w:r>
          </w:p>
        </w:tc>
        <w:tc>
          <w:tcPr>
            <w:tcW w:w="1716" w:type="dxa"/>
            <w:tcBorders>
              <w:top w:val="dotted" w:sz="4" w:space="0" w:color="auto"/>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95.000.000,00</w:t>
            </w:r>
          </w:p>
        </w:tc>
        <w:tc>
          <w:tcPr>
            <w:tcW w:w="1801" w:type="dxa"/>
            <w:tcBorders>
              <w:top w:val="dotted" w:sz="4"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690"/>
          <w:jc w:val="center"/>
        </w:trPr>
        <w:tc>
          <w:tcPr>
            <w:tcW w:w="21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A6D1C" w:rsidRPr="000A0F07" w:rsidRDefault="00BA6D1C" w:rsidP="00BA6D1C">
            <w:pPr>
              <w:jc w:val="center"/>
              <w:rPr>
                <w:b/>
                <w:bCs/>
                <w:sz w:val="20"/>
                <w:szCs w:val="20"/>
              </w:rPr>
            </w:pPr>
            <w:r w:rsidRPr="000A0F07">
              <w:rPr>
                <w:b/>
                <w:bCs/>
                <w:sz w:val="20"/>
                <w:szCs w:val="20"/>
              </w:rPr>
              <w:t xml:space="preserve">UKUPNO BANKE </w:t>
            </w:r>
            <w:r w:rsidRPr="000A0F07">
              <w:rPr>
                <w:b/>
                <w:bCs/>
                <w:sz w:val="20"/>
                <w:szCs w:val="20"/>
              </w:rPr>
              <w:br/>
              <w:t>IZVAN JAVNOG SEKTORA</w:t>
            </w:r>
          </w:p>
        </w:tc>
        <w:tc>
          <w:tcPr>
            <w:tcW w:w="1716"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10.505.355.576,52</w:t>
            </w:r>
          </w:p>
        </w:tc>
        <w:tc>
          <w:tcPr>
            <w:tcW w:w="1716"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10.505.355.576,52</w:t>
            </w:r>
          </w:p>
        </w:tc>
        <w:tc>
          <w:tcPr>
            <w:tcW w:w="1801"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300"/>
          <w:jc w:val="center"/>
        </w:trPr>
        <w:tc>
          <w:tcPr>
            <w:tcW w:w="2112" w:type="dxa"/>
            <w:tcBorders>
              <w:top w:val="nil"/>
              <w:left w:val="nil"/>
              <w:bottom w:val="single" w:sz="8" w:space="0" w:color="auto"/>
              <w:right w:val="nil"/>
            </w:tcBorders>
            <w:shd w:val="clear" w:color="auto" w:fill="auto"/>
            <w:noWrap/>
            <w:vAlign w:val="bottom"/>
            <w:hideMark/>
          </w:tcPr>
          <w:p w:rsidR="00BA6D1C" w:rsidRPr="000A0F07" w:rsidRDefault="00BA6D1C" w:rsidP="00BA6D1C">
            <w:pPr>
              <w:rPr>
                <w:sz w:val="20"/>
                <w:szCs w:val="20"/>
              </w:rPr>
            </w:pPr>
            <w:r w:rsidRPr="000A0F07">
              <w:rPr>
                <w:sz w:val="20"/>
                <w:szCs w:val="20"/>
              </w:rPr>
              <w:t> </w:t>
            </w:r>
          </w:p>
        </w:tc>
        <w:tc>
          <w:tcPr>
            <w:tcW w:w="1716"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732" w:type="dxa"/>
            <w:tcBorders>
              <w:top w:val="nil"/>
              <w:left w:val="nil"/>
              <w:bottom w:val="single" w:sz="8" w:space="0" w:color="auto"/>
              <w:right w:val="nil"/>
            </w:tcBorders>
            <w:shd w:val="clear" w:color="auto" w:fill="auto"/>
            <w:noWrap/>
            <w:vAlign w:val="bottom"/>
            <w:hideMark/>
          </w:tcPr>
          <w:p w:rsidR="00BA6D1C" w:rsidRPr="000A0F07" w:rsidRDefault="00BA6D1C" w:rsidP="00BA6D1C">
            <w:pPr>
              <w:rPr>
                <w:sz w:val="20"/>
                <w:szCs w:val="20"/>
              </w:rPr>
            </w:pPr>
            <w:r w:rsidRPr="000A0F07">
              <w:rPr>
                <w:sz w:val="20"/>
                <w:szCs w:val="20"/>
              </w:rPr>
              <w:t> </w:t>
            </w:r>
          </w:p>
        </w:tc>
        <w:tc>
          <w:tcPr>
            <w:tcW w:w="1716"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801"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r>
      <w:tr w:rsidR="000A0F07" w:rsidRPr="000A0F07" w:rsidTr="000A0F07">
        <w:trPr>
          <w:trHeight w:val="300"/>
          <w:jc w:val="center"/>
        </w:trPr>
        <w:tc>
          <w:tcPr>
            <w:tcW w:w="2112" w:type="dxa"/>
            <w:tcBorders>
              <w:top w:val="nil"/>
              <w:left w:val="single" w:sz="8" w:space="0" w:color="auto"/>
              <w:bottom w:val="single" w:sz="8" w:space="0" w:color="auto"/>
              <w:right w:val="single" w:sz="4" w:space="0" w:color="auto"/>
            </w:tcBorders>
            <w:shd w:val="clear" w:color="auto" w:fill="auto"/>
            <w:noWrap/>
            <w:vAlign w:val="bottom"/>
            <w:hideMark/>
          </w:tcPr>
          <w:p w:rsidR="00BA6D1C" w:rsidRPr="000A0F07" w:rsidRDefault="00BA6D1C" w:rsidP="00BA6D1C">
            <w:pPr>
              <w:rPr>
                <w:sz w:val="20"/>
                <w:szCs w:val="20"/>
              </w:rPr>
            </w:pPr>
            <w:r w:rsidRPr="000A0F07">
              <w:rPr>
                <w:sz w:val="20"/>
                <w:szCs w:val="20"/>
              </w:rPr>
              <w:t>HBOR</w:t>
            </w:r>
          </w:p>
        </w:tc>
        <w:tc>
          <w:tcPr>
            <w:tcW w:w="1716" w:type="dxa"/>
            <w:tcBorders>
              <w:top w:val="single" w:sz="8" w:space="0" w:color="auto"/>
              <w:left w:val="nil"/>
              <w:bottom w:val="nil"/>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c>
          <w:tcPr>
            <w:tcW w:w="1732" w:type="dxa"/>
            <w:tcBorders>
              <w:top w:val="nil"/>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1.181.889.350,00</w:t>
            </w:r>
          </w:p>
        </w:tc>
        <w:tc>
          <w:tcPr>
            <w:tcW w:w="1716" w:type="dxa"/>
            <w:tcBorders>
              <w:top w:val="single" w:sz="8" w:space="0" w:color="auto"/>
              <w:left w:val="nil"/>
              <w:bottom w:val="nil"/>
              <w:right w:val="single" w:sz="4"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1.181.889.350,00</w:t>
            </w:r>
          </w:p>
        </w:tc>
        <w:tc>
          <w:tcPr>
            <w:tcW w:w="1801" w:type="dxa"/>
            <w:tcBorders>
              <w:top w:val="single" w:sz="8" w:space="0" w:color="auto"/>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sz w:val="20"/>
                <w:szCs w:val="20"/>
              </w:rPr>
            </w:pPr>
            <w:r w:rsidRPr="000A0F07">
              <w:rPr>
                <w:sz w:val="20"/>
                <w:szCs w:val="20"/>
              </w:rPr>
              <w:t>0,00</w:t>
            </w:r>
          </w:p>
        </w:tc>
      </w:tr>
      <w:tr w:rsidR="000A0F07" w:rsidRPr="000A0F07" w:rsidTr="000A0F07">
        <w:trPr>
          <w:trHeight w:val="300"/>
          <w:jc w:val="center"/>
        </w:trPr>
        <w:tc>
          <w:tcPr>
            <w:tcW w:w="2112" w:type="dxa"/>
            <w:tcBorders>
              <w:top w:val="nil"/>
              <w:left w:val="nil"/>
              <w:bottom w:val="single" w:sz="8" w:space="0" w:color="auto"/>
              <w:right w:val="nil"/>
            </w:tcBorders>
            <w:shd w:val="clear" w:color="auto" w:fill="auto"/>
            <w:noWrap/>
            <w:vAlign w:val="bottom"/>
            <w:hideMark/>
          </w:tcPr>
          <w:p w:rsidR="00BA6D1C" w:rsidRPr="000A0F07" w:rsidRDefault="00BA6D1C" w:rsidP="00BA6D1C">
            <w:pPr>
              <w:rPr>
                <w:sz w:val="20"/>
                <w:szCs w:val="20"/>
              </w:rPr>
            </w:pPr>
            <w:r w:rsidRPr="000A0F07">
              <w:rPr>
                <w:sz w:val="20"/>
                <w:szCs w:val="20"/>
              </w:rPr>
              <w:t> </w:t>
            </w:r>
          </w:p>
        </w:tc>
        <w:tc>
          <w:tcPr>
            <w:tcW w:w="1716" w:type="dxa"/>
            <w:tcBorders>
              <w:top w:val="single" w:sz="8" w:space="0" w:color="auto"/>
              <w:left w:val="nil"/>
              <w:bottom w:val="single" w:sz="8" w:space="0" w:color="auto"/>
              <w:right w:val="nil"/>
            </w:tcBorders>
            <w:shd w:val="clear" w:color="auto" w:fill="auto"/>
            <w:noWrap/>
            <w:vAlign w:val="bottom"/>
            <w:hideMark/>
          </w:tcPr>
          <w:p w:rsidR="00BA6D1C" w:rsidRPr="000A0F07" w:rsidRDefault="00BA6D1C" w:rsidP="00BA6D1C">
            <w:pPr>
              <w:rPr>
                <w:sz w:val="20"/>
                <w:szCs w:val="20"/>
              </w:rPr>
            </w:pPr>
            <w:r w:rsidRPr="000A0F07">
              <w:rPr>
                <w:sz w:val="20"/>
                <w:szCs w:val="20"/>
              </w:rPr>
              <w:t> </w:t>
            </w:r>
          </w:p>
        </w:tc>
        <w:tc>
          <w:tcPr>
            <w:tcW w:w="1732" w:type="dxa"/>
            <w:tcBorders>
              <w:top w:val="nil"/>
              <w:left w:val="nil"/>
              <w:bottom w:val="nil"/>
              <w:right w:val="nil"/>
            </w:tcBorders>
            <w:shd w:val="clear" w:color="auto" w:fill="auto"/>
            <w:noWrap/>
            <w:vAlign w:val="bottom"/>
            <w:hideMark/>
          </w:tcPr>
          <w:p w:rsidR="00BA6D1C" w:rsidRPr="000A0F07" w:rsidRDefault="00BA6D1C" w:rsidP="00BA6D1C">
            <w:pPr>
              <w:rPr>
                <w:sz w:val="20"/>
                <w:szCs w:val="20"/>
              </w:rPr>
            </w:pPr>
          </w:p>
        </w:tc>
        <w:tc>
          <w:tcPr>
            <w:tcW w:w="1716" w:type="dxa"/>
            <w:tcBorders>
              <w:top w:val="single" w:sz="8" w:space="0" w:color="auto"/>
              <w:left w:val="nil"/>
              <w:bottom w:val="single" w:sz="8" w:space="0" w:color="auto"/>
              <w:right w:val="nil"/>
            </w:tcBorders>
            <w:shd w:val="clear" w:color="auto" w:fill="auto"/>
            <w:noWrap/>
            <w:vAlign w:val="bottom"/>
            <w:hideMark/>
          </w:tcPr>
          <w:p w:rsidR="00BA6D1C" w:rsidRPr="000A0F07" w:rsidRDefault="00BA6D1C" w:rsidP="00BA6D1C">
            <w:pPr>
              <w:rPr>
                <w:sz w:val="20"/>
                <w:szCs w:val="20"/>
              </w:rPr>
            </w:pPr>
            <w:r w:rsidRPr="000A0F07">
              <w:rPr>
                <w:sz w:val="20"/>
                <w:szCs w:val="20"/>
              </w:rPr>
              <w:t> </w:t>
            </w:r>
          </w:p>
        </w:tc>
        <w:tc>
          <w:tcPr>
            <w:tcW w:w="1801" w:type="dxa"/>
            <w:tcBorders>
              <w:top w:val="nil"/>
              <w:left w:val="nil"/>
              <w:bottom w:val="single" w:sz="8" w:space="0" w:color="auto"/>
              <w:right w:val="nil"/>
            </w:tcBorders>
            <w:shd w:val="clear" w:color="auto" w:fill="auto"/>
            <w:noWrap/>
            <w:vAlign w:val="bottom"/>
            <w:hideMark/>
          </w:tcPr>
          <w:p w:rsidR="00BA6D1C" w:rsidRPr="000A0F07" w:rsidRDefault="00BA6D1C" w:rsidP="00BA6D1C">
            <w:pPr>
              <w:rPr>
                <w:sz w:val="20"/>
                <w:szCs w:val="20"/>
              </w:rPr>
            </w:pPr>
            <w:r w:rsidRPr="000A0F07">
              <w:rPr>
                <w:sz w:val="20"/>
                <w:szCs w:val="20"/>
              </w:rPr>
              <w:t> </w:t>
            </w:r>
          </w:p>
        </w:tc>
      </w:tr>
      <w:tr w:rsidR="000A0F07" w:rsidRPr="000A0F07" w:rsidTr="000A0F07">
        <w:trPr>
          <w:trHeight w:val="300"/>
          <w:jc w:val="center"/>
        </w:trPr>
        <w:tc>
          <w:tcPr>
            <w:tcW w:w="2112" w:type="dxa"/>
            <w:tcBorders>
              <w:top w:val="nil"/>
              <w:left w:val="single" w:sz="8" w:space="0" w:color="auto"/>
              <w:bottom w:val="single" w:sz="8" w:space="0" w:color="auto"/>
              <w:right w:val="single" w:sz="8" w:space="0" w:color="auto"/>
            </w:tcBorders>
            <w:shd w:val="clear" w:color="auto" w:fill="auto"/>
            <w:noWrap/>
            <w:vAlign w:val="bottom"/>
            <w:hideMark/>
          </w:tcPr>
          <w:p w:rsidR="00BA6D1C" w:rsidRPr="000A0F07" w:rsidRDefault="00BA6D1C" w:rsidP="00BA6D1C">
            <w:pPr>
              <w:rPr>
                <w:b/>
                <w:bCs/>
                <w:sz w:val="20"/>
                <w:szCs w:val="20"/>
              </w:rPr>
            </w:pPr>
            <w:r w:rsidRPr="000A0F07">
              <w:rPr>
                <w:b/>
                <w:bCs/>
                <w:sz w:val="20"/>
                <w:szCs w:val="20"/>
              </w:rPr>
              <w:t>SVEUKUPNO</w:t>
            </w:r>
          </w:p>
        </w:tc>
        <w:tc>
          <w:tcPr>
            <w:tcW w:w="1716" w:type="dxa"/>
            <w:tcBorders>
              <w:top w:val="nil"/>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b/>
                <w:bCs/>
                <w:sz w:val="20"/>
                <w:szCs w:val="20"/>
              </w:rPr>
            </w:pPr>
            <w:r w:rsidRPr="000A0F07">
              <w:rPr>
                <w:b/>
                <w:bCs/>
                <w:sz w:val="20"/>
                <w:szCs w:val="20"/>
              </w:rPr>
              <w:t>0,00</w:t>
            </w:r>
          </w:p>
        </w:tc>
        <w:tc>
          <w:tcPr>
            <w:tcW w:w="1732" w:type="dxa"/>
            <w:tcBorders>
              <w:top w:val="single" w:sz="8" w:space="0" w:color="auto"/>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b/>
                <w:bCs/>
                <w:sz w:val="20"/>
                <w:szCs w:val="20"/>
              </w:rPr>
            </w:pPr>
            <w:r w:rsidRPr="000A0F07">
              <w:rPr>
                <w:b/>
                <w:bCs/>
                <w:sz w:val="20"/>
                <w:szCs w:val="20"/>
              </w:rPr>
              <w:t>11.687.244.926,52</w:t>
            </w:r>
          </w:p>
        </w:tc>
        <w:tc>
          <w:tcPr>
            <w:tcW w:w="1716" w:type="dxa"/>
            <w:tcBorders>
              <w:top w:val="nil"/>
              <w:left w:val="nil"/>
              <w:bottom w:val="single" w:sz="8" w:space="0" w:color="auto"/>
              <w:right w:val="single" w:sz="4" w:space="0" w:color="auto"/>
            </w:tcBorders>
            <w:shd w:val="clear" w:color="auto" w:fill="auto"/>
            <w:noWrap/>
            <w:vAlign w:val="bottom"/>
            <w:hideMark/>
          </w:tcPr>
          <w:p w:rsidR="00BA6D1C" w:rsidRPr="000A0F07" w:rsidRDefault="00BA6D1C" w:rsidP="00BA6D1C">
            <w:pPr>
              <w:jc w:val="right"/>
              <w:rPr>
                <w:b/>
                <w:bCs/>
                <w:sz w:val="20"/>
                <w:szCs w:val="20"/>
              </w:rPr>
            </w:pPr>
            <w:r w:rsidRPr="000A0F07">
              <w:rPr>
                <w:b/>
                <w:bCs/>
                <w:sz w:val="20"/>
                <w:szCs w:val="20"/>
              </w:rPr>
              <w:t>11.687.244.926,52</w:t>
            </w:r>
          </w:p>
        </w:tc>
        <w:tc>
          <w:tcPr>
            <w:tcW w:w="1801" w:type="dxa"/>
            <w:tcBorders>
              <w:top w:val="nil"/>
              <w:left w:val="nil"/>
              <w:bottom w:val="single" w:sz="8" w:space="0" w:color="auto"/>
              <w:right w:val="single" w:sz="8" w:space="0" w:color="auto"/>
            </w:tcBorders>
            <w:shd w:val="clear" w:color="auto" w:fill="auto"/>
            <w:noWrap/>
            <w:vAlign w:val="bottom"/>
            <w:hideMark/>
          </w:tcPr>
          <w:p w:rsidR="00BA6D1C" w:rsidRPr="000A0F07" w:rsidRDefault="00BA6D1C" w:rsidP="00BA6D1C">
            <w:pPr>
              <w:jc w:val="right"/>
              <w:rPr>
                <w:b/>
                <w:bCs/>
                <w:sz w:val="20"/>
                <w:szCs w:val="20"/>
              </w:rPr>
            </w:pPr>
            <w:r w:rsidRPr="000A0F07">
              <w:rPr>
                <w:b/>
                <w:bCs/>
                <w:sz w:val="20"/>
                <w:szCs w:val="20"/>
              </w:rPr>
              <w:t>0,00</w:t>
            </w:r>
          </w:p>
        </w:tc>
      </w:tr>
    </w:tbl>
    <w:p w:rsidR="00FF556F" w:rsidRPr="000A0F07" w:rsidRDefault="00FF556F" w:rsidP="00C83AB5">
      <w:pPr>
        <w:pStyle w:val="Odlomakpopisa"/>
        <w:numPr>
          <w:ilvl w:val="0"/>
          <w:numId w:val="5"/>
        </w:numPr>
        <w:jc w:val="both"/>
        <w:rPr>
          <w:b/>
          <w:i/>
        </w:rPr>
      </w:pPr>
      <w:r w:rsidRPr="000A0F07">
        <w:rPr>
          <w:b/>
          <w:i/>
        </w:rPr>
        <w:lastRenderedPageBreak/>
        <w:t>Zajmovi međunarodn</w:t>
      </w:r>
      <w:r w:rsidR="00161ECF" w:rsidRPr="000A0F07">
        <w:rPr>
          <w:b/>
          <w:i/>
        </w:rPr>
        <w:t>ih financijskih institucija koje</w:t>
      </w:r>
      <w:r w:rsidRPr="000A0F07">
        <w:rPr>
          <w:b/>
          <w:i/>
        </w:rPr>
        <w:t xml:space="preserve"> je ugovorila izravno Republika Hrvatska</w:t>
      </w:r>
    </w:p>
    <w:p w:rsidR="00A1020F" w:rsidRPr="000A0F07" w:rsidRDefault="00A1020F" w:rsidP="00A1020F">
      <w:pPr>
        <w:spacing w:after="200" w:line="276" w:lineRule="auto"/>
        <w:contextualSpacing/>
        <w:jc w:val="both"/>
        <w:rPr>
          <w:rFonts w:eastAsiaTheme="minorHAnsi"/>
          <w:lang w:eastAsia="en-US"/>
        </w:rPr>
      </w:pPr>
    </w:p>
    <w:p w:rsidR="003146B4" w:rsidRPr="000A0F07" w:rsidRDefault="00540102" w:rsidP="003146B4">
      <w:pPr>
        <w:spacing w:after="200" w:line="276" w:lineRule="auto"/>
        <w:contextualSpacing/>
        <w:jc w:val="both"/>
        <w:rPr>
          <w:rFonts w:eastAsiaTheme="minorHAnsi"/>
          <w:lang w:eastAsia="en-US"/>
        </w:rPr>
      </w:pPr>
      <w:r w:rsidRPr="000A0F07">
        <w:rPr>
          <w:rFonts w:eastAsiaTheme="minorHAnsi"/>
          <w:lang w:eastAsia="en-US"/>
        </w:rPr>
        <w:t>Z</w:t>
      </w:r>
      <w:r w:rsidR="00FF556F" w:rsidRPr="000A0F07">
        <w:rPr>
          <w:rFonts w:eastAsiaTheme="minorHAnsi"/>
          <w:lang w:eastAsia="en-US"/>
        </w:rPr>
        <w:t xml:space="preserve">ajam Međunarodne banke za obnovu i razvoj (IBRD) br. 87490-HR </w:t>
      </w:r>
      <w:r w:rsidRPr="000A0F07">
        <w:rPr>
          <w:rFonts w:eastAsiaTheme="minorHAnsi"/>
          <w:lang w:eastAsia="en-US"/>
        </w:rPr>
        <w:t xml:space="preserve">u iznosu od </w:t>
      </w:r>
      <w:r w:rsidR="00FF556F" w:rsidRPr="000A0F07">
        <w:rPr>
          <w:rFonts w:eastAsiaTheme="minorHAnsi"/>
          <w:lang w:eastAsia="en-US"/>
        </w:rPr>
        <w:t>22 milijuna eura</w:t>
      </w:r>
      <w:r w:rsidRPr="000A0F07">
        <w:rPr>
          <w:rFonts w:eastAsiaTheme="minorHAnsi"/>
          <w:lang w:eastAsia="en-US"/>
        </w:rPr>
        <w:t xml:space="preserve"> ugovoren je za</w:t>
      </w:r>
      <w:r w:rsidR="00FF556F" w:rsidRPr="000A0F07">
        <w:rPr>
          <w:rFonts w:eastAsiaTheme="minorHAnsi"/>
          <w:lang w:eastAsia="en-US"/>
        </w:rPr>
        <w:t xml:space="preserve"> Projekt modernizacije i restrukturiranja cestovnog sektora</w:t>
      </w:r>
      <w:r w:rsidRPr="000A0F07">
        <w:rPr>
          <w:rFonts w:eastAsiaTheme="minorHAnsi"/>
          <w:lang w:eastAsia="en-US"/>
        </w:rPr>
        <w:t>. K</w:t>
      </w:r>
      <w:r w:rsidR="00FF556F" w:rsidRPr="000A0F07">
        <w:rPr>
          <w:rFonts w:eastAsiaTheme="minorHAnsi"/>
          <w:lang w:eastAsia="en-US"/>
        </w:rPr>
        <w:t>orisnik</w:t>
      </w:r>
      <w:r w:rsidRPr="000A0F07">
        <w:rPr>
          <w:rFonts w:eastAsiaTheme="minorHAnsi"/>
          <w:lang w:eastAsia="en-US"/>
        </w:rPr>
        <w:t xml:space="preserve"> zajma je</w:t>
      </w:r>
      <w:r w:rsidR="00FF556F" w:rsidRPr="000A0F07">
        <w:rPr>
          <w:rFonts w:eastAsiaTheme="minorHAnsi"/>
          <w:lang w:eastAsia="en-US"/>
        </w:rPr>
        <w:t xml:space="preserve"> Ministarstvo mora, prometa i infrastrukture</w:t>
      </w:r>
      <w:r w:rsidRPr="000A0F07">
        <w:rPr>
          <w:rFonts w:eastAsiaTheme="minorHAnsi"/>
          <w:lang w:eastAsia="en-US"/>
        </w:rPr>
        <w:t>. P</w:t>
      </w:r>
      <w:r w:rsidR="00FF556F" w:rsidRPr="000A0F07">
        <w:rPr>
          <w:rFonts w:eastAsiaTheme="minorHAnsi"/>
          <w:lang w:eastAsia="en-US"/>
        </w:rPr>
        <w:t>rvi obrok glav</w:t>
      </w:r>
      <w:r w:rsidR="00A1020F" w:rsidRPr="000A0F07">
        <w:rPr>
          <w:rFonts w:eastAsiaTheme="minorHAnsi"/>
          <w:lang w:eastAsia="en-US"/>
        </w:rPr>
        <w:t xml:space="preserve">nice dospijeva na naplatu 15. svibnja 2021., a posljednji 15. studenog </w:t>
      </w:r>
      <w:r w:rsidR="00FF556F" w:rsidRPr="000A0F07">
        <w:rPr>
          <w:rFonts w:eastAsiaTheme="minorHAnsi"/>
          <w:lang w:eastAsia="en-US"/>
        </w:rPr>
        <w:t>2026.</w:t>
      </w:r>
      <w:r w:rsidRPr="000A0F07">
        <w:rPr>
          <w:rFonts w:eastAsiaTheme="minorHAnsi"/>
          <w:lang w:eastAsia="en-US"/>
        </w:rPr>
        <w:t xml:space="preserve"> Z</w:t>
      </w:r>
      <w:r w:rsidR="00FF556F" w:rsidRPr="000A0F07">
        <w:rPr>
          <w:rFonts w:eastAsiaTheme="minorHAnsi"/>
          <w:lang w:eastAsia="en-US"/>
        </w:rPr>
        <w:t>ajam je ugovoren uz promjenjivu kamatnu stopu (6 mjesečni EURIBOR + fiksna kamatna marža).</w:t>
      </w:r>
    </w:p>
    <w:p w:rsidR="001F1D13" w:rsidRDefault="001F1D13" w:rsidP="003146B4">
      <w:pPr>
        <w:spacing w:after="200" w:line="276" w:lineRule="auto"/>
        <w:contextualSpacing/>
        <w:jc w:val="both"/>
        <w:rPr>
          <w:rFonts w:eastAsiaTheme="minorHAnsi"/>
          <w:b/>
          <w:lang w:eastAsia="en-US"/>
        </w:rPr>
      </w:pPr>
    </w:p>
    <w:p w:rsidR="001F1D13" w:rsidRDefault="001F1D13" w:rsidP="003146B4">
      <w:pPr>
        <w:spacing w:after="200" w:line="276" w:lineRule="auto"/>
        <w:contextualSpacing/>
        <w:jc w:val="both"/>
        <w:rPr>
          <w:rFonts w:eastAsiaTheme="minorHAnsi"/>
          <w:b/>
          <w:lang w:eastAsia="en-US"/>
        </w:rPr>
      </w:pPr>
    </w:p>
    <w:p w:rsidR="00D24D8F" w:rsidRPr="000A0F07" w:rsidRDefault="00D24D8F" w:rsidP="00D24D8F">
      <w:pPr>
        <w:spacing w:after="200" w:line="276" w:lineRule="auto"/>
        <w:contextualSpacing/>
        <w:jc w:val="both"/>
        <w:rPr>
          <w:rFonts w:eastAsiaTheme="minorHAnsi"/>
          <w:lang w:eastAsia="en-US"/>
        </w:rPr>
      </w:pPr>
      <w:r w:rsidRPr="006F370C">
        <w:rPr>
          <w:rFonts w:eastAsiaTheme="minorHAnsi"/>
          <w:b/>
          <w:lang w:eastAsia="en-US"/>
        </w:rPr>
        <w:t xml:space="preserve">IZVJEŠTAJ O PROVEDBI STRATEGIJE UPRAVLJANJA JAVNIM DUGOM ZA </w:t>
      </w:r>
      <w:r>
        <w:rPr>
          <w:rFonts w:eastAsiaTheme="minorHAnsi"/>
          <w:b/>
          <w:lang w:eastAsia="en-US"/>
        </w:rPr>
        <w:t>RAZDOBLJE 2017. – 2019.</w:t>
      </w:r>
    </w:p>
    <w:p w:rsidR="00C83AB5" w:rsidRPr="000A0F07" w:rsidRDefault="00C83AB5" w:rsidP="00FF556F">
      <w:pPr>
        <w:spacing w:after="200" w:line="276" w:lineRule="auto"/>
        <w:ind w:left="720"/>
        <w:contextualSpacing/>
        <w:jc w:val="both"/>
        <w:rPr>
          <w:rFonts w:eastAsiaTheme="minorHAnsi"/>
          <w:b/>
          <w:lang w:eastAsia="en-US"/>
        </w:rPr>
      </w:pPr>
    </w:p>
    <w:p w:rsidR="00C83AB5" w:rsidRPr="000A0F07" w:rsidRDefault="001F1D13" w:rsidP="003146B4">
      <w:pPr>
        <w:spacing w:after="200" w:line="276" w:lineRule="auto"/>
        <w:contextualSpacing/>
        <w:jc w:val="both"/>
        <w:rPr>
          <w:rFonts w:eastAsiaTheme="minorHAnsi"/>
          <w:lang w:eastAsia="en-US"/>
        </w:rPr>
      </w:pPr>
      <w:r>
        <w:rPr>
          <w:rFonts w:eastAsiaTheme="minorHAnsi"/>
          <w:lang w:eastAsia="en-US"/>
        </w:rPr>
        <w:t>Dug državnog proračuna</w:t>
      </w:r>
      <w:r w:rsidR="00C83AB5" w:rsidRPr="000A0F07">
        <w:rPr>
          <w:rFonts w:eastAsiaTheme="minorHAnsi"/>
          <w:lang w:eastAsia="en-US"/>
        </w:rPr>
        <w:t xml:space="preserve"> obuhvaća kreditne obveze koje se servisiraju iz državnog proračuna, a ne obuhvaća dug izvanproračunskih korisnika državnog proračuna i dug javnih poduzeća</w:t>
      </w:r>
      <w:r>
        <w:rPr>
          <w:rFonts w:eastAsiaTheme="minorHAnsi"/>
          <w:lang w:eastAsia="en-US"/>
        </w:rPr>
        <w:t xml:space="preserve"> koja su klasificirana</w:t>
      </w:r>
      <w:r w:rsidR="003E5878">
        <w:rPr>
          <w:rFonts w:eastAsiaTheme="minorHAnsi"/>
          <w:lang w:eastAsia="en-US"/>
        </w:rPr>
        <w:t xml:space="preserve"> u sektor središnje države prema metodologiji ESA 2010</w:t>
      </w:r>
      <w:r w:rsidR="00C83AB5" w:rsidRPr="000A0F07">
        <w:rPr>
          <w:rFonts w:eastAsiaTheme="minorHAnsi"/>
          <w:lang w:eastAsia="en-US"/>
        </w:rPr>
        <w:t>.</w:t>
      </w:r>
    </w:p>
    <w:p w:rsidR="006B580D" w:rsidRPr="000A0F07" w:rsidRDefault="00C83AB5" w:rsidP="00C83AB5">
      <w:pPr>
        <w:spacing w:after="200" w:line="276" w:lineRule="auto"/>
        <w:contextualSpacing/>
        <w:jc w:val="both"/>
        <w:rPr>
          <w:rFonts w:eastAsiaTheme="minorHAnsi"/>
          <w:lang w:eastAsia="en-US"/>
        </w:rPr>
      </w:pPr>
      <w:r w:rsidRPr="000A0F07">
        <w:rPr>
          <w:rFonts w:eastAsiaTheme="minorHAnsi"/>
          <w:lang w:eastAsia="en-US"/>
        </w:rPr>
        <w:t xml:space="preserve">Državni dug obuhvaća domaći i inozemni dug. Domaći dug se sastoji od obveznica izdanih na domaćem tržištu, trezorskih zapisa i kredita na domaćem tržištu kapitala, dok se inozemni dug sastoji od obveznica i kredita na međunarodnim financijskim tržištima. Kretanje hrvatskog državnog duga u razdoblju </w:t>
      </w:r>
      <w:r w:rsidR="003146B4" w:rsidRPr="000A0F07">
        <w:rPr>
          <w:rFonts w:eastAsiaTheme="minorHAnsi"/>
          <w:lang w:eastAsia="en-US"/>
        </w:rPr>
        <w:t xml:space="preserve">od 2015. do </w:t>
      </w:r>
      <w:r w:rsidRPr="000A0F07">
        <w:rPr>
          <w:rFonts w:eastAsiaTheme="minorHAnsi"/>
          <w:lang w:eastAsia="en-US"/>
        </w:rPr>
        <w:t>2017. godine vi</w:t>
      </w:r>
      <w:r w:rsidR="00B36969" w:rsidRPr="000A0F07">
        <w:rPr>
          <w:rFonts w:eastAsiaTheme="minorHAnsi"/>
          <w:lang w:eastAsia="en-US"/>
        </w:rPr>
        <w:t xml:space="preserve">dljivo je u </w:t>
      </w:r>
      <w:r w:rsidR="003146B4" w:rsidRPr="000A0F07">
        <w:rPr>
          <w:rFonts w:eastAsiaTheme="minorHAnsi"/>
          <w:lang w:eastAsia="en-US"/>
        </w:rPr>
        <w:t>tablici</w:t>
      </w:r>
      <w:r w:rsidR="00B36969" w:rsidRPr="000A0F07">
        <w:rPr>
          <w:rFonts w:eastAsiaTheme="minorHAnsi"/>
          <w:lang w:eastAsia="en-US"/>
        </w:rPr>
        <w:t xml:space="preserve"> </w:t>
      </w:r>
      <w:r w:rsidR="00471BA4">
        <w:rPr>
          <w:rFonts w:eastAsiaTheme="minorHAnsi"/>
          <w:lang w:eastAsia="en-US"/>
        </w:rPr>
        <w:t>5</w:t>
      </w:r>
      <w:r w:rsidR="003146B4" w:rsidRPr="000A0F07">
        <w:rPr>
          <w:rFonts w:eastAsiaTheme="minorHAnsi"/>
          <w:lang w:eastAsia="en-US"/>
        </w:rPr>
        <w:t>.</w:t>
      </w:r>
    </w:p>
    <w:p w:rsidR="009C5A67" w:rsidRPr="000A0F07" w:rsidRDefault="009C5A67" w:rsidP="009C5A67">
      <w:pPr>
        <w:pStyle w:val="Opisslike"/>
        <w:keepNext/>
        <w:rPr>
          <w:b w:val="0"/>
          <w:i/>
          <w:color w:val="auto"/>
          <w:sz w:val="24"/>
          <w:szCs w:val="24"/>
        </w:rPr>
      </w:pPr>
      <w:r w:rsidRPr="000A0F07">
        <w:rPr>
          <w:b w:val="0"/>
          <w:i/>
          <w:color w:val="auto"/>
          <w:sz w:val="24"/>
          <w:szCs w:val="24"/>
        </w:rPr>
        <w:t xml:space="preserve">Tablica </w:t>
      </w:r>
      <w:r w:rsidRPr="000A0F07">
        <w:rPr>
          <w:b w:val="0"/>
          <w:i/>
          <w:color w:val="auto"/>
          <w:sz w:val="24"/>
          <w:szCs w:val="24"/>
        </w:rPr>
        <w:fldChar w:fldCharType="begin"/>
      </w:r>
      <w:r w:rsidRPr="000A0F07">
        <w:rPr>
          <w:b w:val="0"/>
          <w:i/>
          <w:color w:val="auto"/>
          <w:sz w:val="24"/>
          <w:szCs w:val="24"/>
        </w:rPr>
        <w:instrText xml:space="preserve"> SEQ Tablica \* ARABIC </w:instrText>
      </w:r>
      <w:r w:rsidRPr="000A0F07">
        <w:rPr>
          <w:b w:val="0"/>
          <w:i/>
          <w:color w:val="auto"/>
          <w:sz w:val="24"/>
          <w:szCs w:val="24"/>
        </w:rPr>
        <w:fldChar w:fldCharType="separate"/>
      </w:r>
      <w:r w:rsidR="00E94121">
        <w:rPr>
          <w:b w:val="0"/>
          <w:i/>
          <w:noProof/>
          <w:color w:val="auto"/>
          <w:sz w:val="24"/>
          <w:szCs w:val="24"/>
        </w:rPr>
        <w:t>5</w:t>
      </w:r>
      <w:r w:rsidRPr="000A0F07">
        <w:rPr>
          <w:b w:val="0"/>
          <w:i/>
          <w:color w:val="auto"/>
          <w:sz w:val="24"/>
          <w:szCs w:val="24"/>
        </w:rPr>
        <w:fldChar w:fldCharType="end"/>
      </w:r>
      <w:r w:rsidRPr="000A0F07">
        <w:rPr>
          <w:b w:val="0"/>
          <w:i/>
          <w:color w:val="auto"/>
          <w:sz w:val="24"/>
          <w:szCs w:val="24"/>
        </w:rPr>
        <w:t>. Dug prema vrsti instrumenata 2015. – 2017.</w:t>
      </w:r>
    </w:p>
    <w:tbl>
      <w:tblPr>
        <w:tblW w:w="9087" w:type="dxa"/>
        <w:tblInd w:w="93" w:type="dxa"/>
        <w:tblLook w:val="04A0" w:firstRow="1" w:lastRow="0" w:firstColumn="1" w:lastColumn="0" w:noHBand="0" w:noVBand="1"/>
      </w:tblPr>
      <w:tblGrid>
        <w:gridCol w:w="1858"/>
        <w:gridCol w:w="1559"/>
        <w:gridCol w:w="977"/>
        <w:gridCol w:w="1575"/>
        <w:gridCol w:w="850"/>
        <w:gridCol w:w="1560"/>
        <w:gridCol w:w="801"/>
      </w:tblGrid>
      <w:tr w:rsidR="006B580D" w:rsidRPr="000A0F07" w:rsidTr="000A0F07">
        <w:trPr>
          <w:trHeight w:val="300"/>
        </w:trPr>
        <w:tc>
          <w:tcPr>
            <w:tcW w:w="1858"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 </w:t>
            </w:r>
          </w:p>
        </w:tc>
        <w:tc>
          <w:tcPr>
            <w:tcW w:w="253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2015</w:t>
            </w:r>
          </w:p>
        </w:tc>
        <w:tc>
          <w:tcPr>
            <w:tcW w:w="242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2016</w:t>
            </w:r>
          </w:p>
        </w:tc>
        <w:tc>
          <w:tcPr>
            <w:tcW w:w="226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2017</w:t>
            </w:r>
          </w:p>
        </w:tc>
      </w:tr>
      <w:tr w:rsidR="006B580D" w:rsidRPr="000A0F07" w:rsidTr="000A0F07">
        <w:trPr>
          <w:trHeight w:val="300"/>
        </w:trPr>
        <w:tc>
          <w:tcPr>
            <w:tcW w:w="1858" w:type="dxa"/>
            <w:vMerge/>
            <w:tcBorders>
              <w:top w:val="single" w:sz="8" w:space="0" w:color="auto"/>
              <w:left w:val="single" w:sz="8" w:space="0" w:color="auto"/>
              <w:bottom w:val="single" w:sz="4" w:space="0" w:color="000000"/>
              <w:right w:val="single" w:sz="8" w:space="0" w:color="auto"/>
            </w:tcBorders>
            <w:vAlign w:val="center"/>
            <w:hideMark/>
          </w:tcPr>
          <w:p w:rsidR="006B580D" w:rsidRPr="000A0F07" w:rsidRDefault="006B580D" w:rsidP="006B580D">
            <w:pPr>
              <w:rPr>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 xml:space="preserve"> HRK</w:t>
            </w:r>
          </w:p>
        </w:tc>
        <w:tc>
          <w:tcPr>
            <w:tcW w:w="977" w:type="dxa"/>
            <w:tcBorders>
              <w:top w:val="nil"/>
              <w:left w:val="nil"/>
              <w:bottom w:val="single" w:sz="4" w:space="0" w:color="auto"/>
              <w:right w:val="single" w:sz="8" w:space="0" w:color="auto"/>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 xml:space="preserve"> HRK</w:t>
            </w:r>
          </w:p>
        </w:tc>
        <w:tc>
          <w:tcPr>
            <w:tcW w:w="850" w:type="dxa"/>
            <w:tcBorders>
              <w:top w:val="nil"/>
              <w:left w:val="nil"/>
              <w:bottom w:val="single" w:sz="4" w:space="0" w:color="auto"/>
              <w:right w:val="single" w:sz="8" w:space="0" w:color="auto"/>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 xml:space="preserve"> HRK</w:t>
            </w:r>
          </w:p>
        </w:tc>
        <w:tc>
          <w:tcPr>
            <w:tcW w:w="708" w:type="dxa"/>
            <w:tcBorders>
              <w:top w:val="nil"/>
              <w:left w:val="nil"/>
              <w:bottom w:val="single" w:sz="4" w:space="0" w:color="auto"/>
              <w:right w:val="single" w:sz="8" w:space="0" w:color="auto"/>
            </w:tcBorders>
            <w:shd w:val="clear" w:color="auto" w:fill="auto"/>
            <w:noWrap/>
            <w:vAlign w:val="bottom"/>
            <w:hideMark/>
          </w:tcPr>
          <w:p w:rsidR="006B580D" w:rsidRPr="000A0F07" w:rsidRDefault="006B580D" w:rsidP="006B580D">
            <w:pPr>
              <w:jc w:val="center"/>
              <w:rPr>
                <w:b/>
                <w:bCs/>
                <w:sz w:val="18"/>
                <w:szCs w:val="18"/>
              </w:rPr>
            </w:pPr>
            <w:r w:rsidRPr="000A0F07">
              <w:rPr>
                <w:b/>
                <w:bCs/>
                <w:sz w:val="18"/>
                <w:szCs w:val="18"/>
              </w:rPr>
              <w:t>%</w:t>
            </w:r>
          </w:p>
        </w:tc>
      </w:tr>
      <w:tr w:rsidR="006B580D" w:rsidRPr="000A0F07" w:rsidTr="000A0F07">
        <w:trPr>
          <w:trHeight w:val="300"/>
        </w:trPr>
        <w:tc>
          <w:tcPr>
            <w:tcW w:w="1858" w:type="dxa"/>
            <w:tcBorders>
              <w:top w:val="nil"/>
              <w:left w:val="single" w:sz="8" w:space="0" w:color="auto"/>
              <w:bottom w:val="nil"/>
              <w:right w:val="nil"/>
            </w:tcBorders>
            <w:shd w:val="clear" w:color="auto" w:fill="auto"/>
            <w:noWrap/>
            <w:vAlign w:val="bottom"/>
            <w:hideMark/>
          </w:tcPr>
          <w:p w:rsidR="006B580D" w:rsidRPr="000A0F07" w:rsidRDefault="006B580D" w:rsidP="006B580D">
            <w:pPr>
              <w:rPr>
                <w:b/>
                <w:bCs/>
                <w:sz w:val="18"/>
                <w:szCs w:val="18"/>
              </w:rPr>
            </w:pPr>
            <w:r w:rsidRPr="000A0F07">
              <w:rPr>
                <w:b/>
                <w:bCs/>
                <w:sz w:val="18"/>
                <w:szCs w:val="18"/>
              </w:rPr>
              <w:t>DOMAĆI DUG</w:t>
            </w:r>
          </w:p>
        </w:tc>
        <w:tc>
          <w:tcPr>
            <w:tcW w:w="1559" w:type="dxa"/>
            <w:tcBorders>
              <w:top w:val="nil"/>
              <w:left w:val="single" w:sz="8" w:space="0" w:color="auto"/>
              <w:bottom w:val="nil"/>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124.124.339.014</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57,0%</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125.891.957.253</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58,0%</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130.096.043.157</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56,5%</w:t>
            </w:r>
          </w:p>
        </w:tc>
      </w:tr>
      <w:tr w:rsidR="006B580D" w:rsidRPr="000A0F07" w:rsidTr="000A0F07">
        <w:trPr>
          <w:trHeight w:val="3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1. Obveznice</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69.594.206.800</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32,0%</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75.754.262.800</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34,9%</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83.360.051.200</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36,2%</w:t>
            </w:r>
          </w:p>
        </w:tc>
      </w:tr>
      <w:tr w:rsidR="006B580D" w:rsidRPr="000A0F07" w:rsidTr="000A0F07">
        <w:trPr>
          <w:trHeight w:val="3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2. Trezorski zapisi</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27.685.968.698</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12,7%</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28.673.178.327</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13,2%</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28.600.693.820</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12,4%</w:t>
            </w:r>
          </w:p>
        </w:tc>
      </w:tr>
      <w:tr w:rsidR="006B580D" w:rsidRPr="000A0F07" w:rsidTr="000A0F07">
        <w:trPr>
          <w:trHeight w:val="3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3. Krediti</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26.844.163.516</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12,3%</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21.464.516.126</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9,</w:t>
            </w:r>
            <w:proofErr w:type="spellStart"/>
            <w:r w:rsidRPr="000A0F07">
              <w:rPr>
                <w:sz w:val="18"/>
                <w:szCs w:val="18"/>
              </w:rPr>
              <w:t>9</w:t>
            </w:r>
            <w:proofErr w:type="spellEnd"/>
            <w:r w:rsidRPr="000A0F07">
              <w:rPr>
                <w:sz w:val="18"/>
                <w:szCs w:val="18"/>
              </w:rPr>
              <w:t>%</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18.135.298.137</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7,9%</w:t>
            </w:r>
          </w:p>
        </w:tc>
      </w:tr>
      <w:tr w:rsidR="006B580D" w:rsidRPr="000A0F07" w:rsidTr="000A0F07">
        <w:trPr>
          <w:trHeight w:val="2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b/>
                <w:bCs/>
                <w:sz w:val="18"/>
                <w:szCs w:val="18"/>
              </w:rPr>
            </w:pPr>
            <w:r w:rsidRPr="000A0F07">
              <w:rPr>
                <w:b/>
                <w:bCs/>
                <w:sz w:val="18"/>
                <w:szCs w:val="18"/>
              </w:rPr>
              <w:t> </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rPr>
                <w:b/>
                <w:bCs/>
                <w:sz w:val="18"/>
                <w:szCs w:val="18"/>
              </w:rPr>
            </w:pP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rPr>
                <w:b/>
                <w:bCs/>
                <w:sz w:val="18"/>
                <w:szCs w:val="18"/>
              </w:rPr>
            </w:pPr>
            <w:r w:rsidRPr="000A0F07">
              <w:rPr>
                <w:b/>
                <w:bCs/>
                <w:sz w:val="18"/>
                <w:szCs w:val="18"/>
              </w:rPr>
              <w:t> </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rPr>
                <w:b/>
                <w:bCs/>
                <w:sz w:val="18"/>
                <w:szCs w:val="18"/>
              </w:rPr>
            </w:pP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rPr>
                <w:b/>
                <w:bCs/>
                <w:sz w:val="18"/>
                <w:szCs w:val="18"/>
              </w:rPr>
            </w:pPr>
            <w:r w:rsidRPr="000A0F07">
              <w:rPr>
                <w:b/>
                <w:bCs/>
                <w:sz w:val="18"/>
                <w:szCs w:val="18"/>
              </w:rPr>
              <w:t> </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rPr>
                <w:b/>
                <w:bCs/>
                <w:sz w:val="18"/>
                <w:szCs w:val="18"/>
              </w:rPr>
            </w:pP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rPr>
                <w:b/>
                <w:bCs/>
                <w:sz w:val="18"/>
                <w:szCs w:val="18"/>
              </w:rPr>
            </w:pPr>
            <w:r w:rsidRPr="000A0F07">
              <w:rPr>
                <w:b/>
                <w:bCs/>
                <w:sz w:val="18"/>
                <w:szCs w:val="18"/>
              </w:rPr>
              <w:t> </w:t>
            </w:r>
          </w:p>
        </w:tc>
      </w:tr>
      <w:tr w:rsidR="006B580D" w:rsidRPr="000A0F07" w:rsidTr="000A0F07">
        <w:trPr>
          <w:trHeight w:val="3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b/>
                <w:bCs/>
                <w:sz w:val="18"/>
                <w:szCs w:val="18"/>
              </w:rPr>
            </w:pPr>
            <w:r w:rsidRPr="000A0F07">
              <w:rPr>
                <w:b/>
                <w:bCs/>
                <w:sz w:val="18"/>
                <w:szCs w:val="18"/>
              </w:rPr>
              <w:t>INOZEMNI DUG</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93.452.448.065</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43,0%</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91.282.329.086</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42,0%</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100.317.225.713</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43,5%</w:t>
            </w:r>
          </w:p>
        </w:tc>
      </w:tr>
      <w:tr w:rsidR="006B580D" w:rsidRPr="000A0F07" w:rsidTr="000A0F07">
        <w:trPr>
          <w:trHeight w:val="3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1. Obveznice</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79.755.641.180</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36,7%</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79.319.812.694</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36,5%</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87.946.272.979</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38,2%</w:t>
            </w:r>
          </w:p>
        </w:tc>
      </w:tr>
      <w:tr w:rsidR="006B580D" w:rsidRPr="000A0F07" w:rsidTr="000A0F07">
        <w:trPr>
          <w:trHeight w:val="3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2. Krediti, od čega</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13.696.806.885</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6,3%</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11.962.516.392</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5,</w:t>
            </w:r>
            <w:proofErr w:type="spellStart"/>
            <w:r w:rsidRPr="000A0F07">
              <w:rPr>
                <w:sz w:val="18"/>
                <w:szCs w:val="18"/>
              </w:rPr>
              <w:t>5</w:t>
            </w:r>
            <w:proofErr w:type="spellEnd"/>
            <w:r w:rsidRPr="000A0F07">
              <w:rPr>
                <w:sz w:val="18"/>
                <w:szCs w:val="18"/>
              </w:rPr>
              <w:t>%</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12.370.952.734</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5,4%</w:t>
            </w:r>
          </w:p>
        </w:tc>
      </w:tr>
      <w:tr w:rsidR="006B580D" w:rsidRPr="000A0F07" w:rsidTr="000A0F07">
        <w:trPr>
          <w:trHeight w:val="300"/>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međunarodne financijske institucije</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10.972.194.179</w:t>
            </w: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5,0%</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11.451.581.972</w:t>
            </w: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5,3%</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jc w:val="right"/>
              <w:rPr>
                <w:sz w:val="18"/>
                <w:szCs w:val="18"/>
              </w:rPr>
            </w:pPr>
            <w:r w:rsidRPr="000A0F07">
              <w:rPr>
                <w:sz w:val="18"/>
                <w:szCs w:val="18"/>
              </w:rPr>
              <w:t>12.354.264.987</w:t>
            </w: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jc w:val="right"/>
              <w:rPr>
                <w:sz w:val="18"/>
                <w:szCs w:val="18"/>
              </w:rPr>
            </w:pPr>
            <w:r w:rsidRPr="000A0F07">
              <w:rPr>
                <w:sz w:val="18"/>
                <w:szCs w:val="18"/>
              </w:rPr>
              <w:t>5,4%</w:t>
            </w:r>
          </w:p>
        </w:tc>
      </w:tr>
      <w:tr w:rsidR="006B580D" w:rsidRPr="000A0F07" w:rsidTr="000A0F07">
        <w:trPr>
          <w:trHeight w:val="124"/>
        </w:trPr>
        <w:tc>
          <w:tcPr>
            <w:tcW w:w="1858" w:type="dxa"/>
            <w:tcBorders>
              <w:top w:val="nil"/>
              <w:left w:val="single" w:sz="8"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 </w:t>
            </w:r>
          </w:p>
        </w:tc>
        <w:tc>
          <w:tcPr>
            <w:tcW w:w="1559" w:type="dxa"/>
            <w:tcBorders>
              <w:top w:val="nil"/>
              <w:left w:val="nil"/>
              <w:bottom w:val="nil"/>
              <w:right w:val="nil"/>
            </w:tcBorders>
            <w:shd w:val="clear" w:color="auto" w:fill="auto"/>
            <w:noWrap/>
            <w:vAlign w:val="bottom"/>
            <w:hideMark/>
          </w:tcPr>
          <w:p w:rsidR="006B580D" w:rsidRPr="000A0F07" w:rsidRDefault="006B580D" w:rsidP="006B580D">
            <w:pPr>
              <w:rPr>
                <w:sz w:val="18"/>
                <w:szCs w:val="18"/>
              </w:rPr>
            </w:pPr>
          </w:p>
        </w:tc>
        <w:tc>
          <w:tcPr>
            <w:tcW w:w="977"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 </w:t>
            </w:r>
          </w:p>
        </w:tc>
        <w:tc>
          <w:tcPr>
            <w:tcW w:w="1575" w:type="dxa"/>
            <w:tcBorders>
              <w:top w:val="nil"/>
              <w:left w:val="nil"/>
              <w:bottom w:val="nil"/>
              <w:right w:val="nil"/>
            </w:tcBorders>
            <w:shd w:val="clear" w:color="auto" w:fill="auto"/>
            <w:noWrap/>
            <w:vAlign w:val="bottom"/>
            <w:hideMark/>
          </w:tcPr>
          <w:p w:rsidR="006B580D" w:rsidRPr="000A0F07" w:rsidRDefault="006B580D" w:rsidP="006B580D">
            <w:pPr>
              <w:rPr>
                <w:sz w:val="18"/>
                <w:szCs w:val="18"/>
              </w:rPr>
            </w:pPr>
          </w:p>
        </w:tc>
        <w:tc>
          <w:tcPr>
            <w:tcW w:w="850"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 </w:t>
            </w:r>
          </w:p>
        </w:tc>
        <w:tc>
          <w:tcPr>
            <w:tcW w:w="1560" w:type="dxa"/>
            <w:tcBorders>
              <w:top w:val="nil"/>
              <w:left w:val="nil"/>
              <w:bottom w:val="nil"/>
              <w:right w:val="nil"/>
            </w:tcBorders>
            <w:shd w:val="clear" w:color="auto" w:fill="auto"/>
            <w:noWrap/>
            <w:vAlign w:val="bottom"/>
            <w:hideMark/>
          </w:tcPr>
          <w:p w:rsidR="006B580D" w:rsidRPr="000A0F07" w:rsidRDefault="006B580D" w:rsidP="006B580D">
            <w:pPr>
              <w:rPr>
                <w:sz w:val="18"/>
                <w:szCs w:val="18"/>
              </w:rPr>
            </w:pPr>
          </w:p>
        </w:tc>
        <w:tc>
          <w:tcPr>
            <w:tcW w:w="708" w:type="dxa"/>
            <w:tcBorders>
              <w:top w:val="nil"/>
              <w:left w:val="single" w:sz="4" w:space="0" w:color="auto"/>
              <w:bottom w:val="nil"/>
              <w:right w:val="single" w:sz="8" w:space="0" w:color="auto"/>
            </w:tcBorders>
            <w:shd w:val="clear" w:color="auto" w:fill="auto"/>
            <w:noWrap/>
            <w:vAlign w:val="bottom"/>
            <w:hideMark/>
          </w:tcPr>
          <w:p w:rsidR="006B580D" w:rsidRPr="000A0F07" w:rsidRDefault="006B580D" w:rsidP="006B580D">
            <w:pPr>
              <w:rPr>
                <w:sz w:val="18"/>
                <w:szCs w:val="18"/>
              </w:rPr>
            </w:pPr>
            <w:r w:rsidRPr="000A0F07">
              <w:rPr>
                <w:sz w:val="18"/>
                <w:szCs w:val="18"/>
              </w:rPr>
              <w:t> </w:t>
            </w:r>
          </w:p>
        </w:tc>
      </w:tr>
      <w:tr w:rsidR="006B580D" w:rsidRPr="000A0F07" w:rsidTr="000A0F07">
        <w:trPr>
          <w:trHeight w:val="31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6B580D" w:rsidRPr="000A0F07" w:rsidRDefault="006B580D" w:rsidP="006B580D">
            <w:pPr>
              <w:rPr>
                <w:b/>
                <w:bCs/>
                <w:sz w:val="18"/>
                <w:szCs w:val="18"/>
              </w:rPr>
            </w:pPr>
            <w:r w:rsidRPr="000A0F07">
              <w:rPr>
                <w:b/>
                <w:bCs/>
                <w:sz w:val="18"/>
                <w:szCs w:val="18"/>
              </w:rPr>
              <w:t>Ukupni državni dug</w:t>
            </w:r>
          </w:p>
        </w:tc>
        <w:tc>
          <w:tcPr>
            <w:tcW w:w="1559" w:type="dxa"/>
            <w:tcBorders>
              <w:top w:val="nil"/>
              <w:left w:val="nil"/>
              <w:bottom w:val="single" w:sz="8" w:space="0" w:color="auto"/>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217.576.787.079</w:t>
            </w:r>
          </w:p>
        </w:tc>
        <w:tc>
          <w:tcPr>
            <w:tcW w:w="977" w:type="dxa"/>
            <w:tcBorders>
              <w:top w:val="nil"/>
              <w:left w:val="single" w:sz="4" w:space="0" w:color="auto"/>
              <w:bottom w:val="single" w:sz="8" w:space="0" w:color="auto"/>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100,0%</w:t>
            </w:r>
          </w:p>
        </w:tc>
        <w:tc>
          <w:tcPr>
            <w:tcW w:w="1575" w:type="dxa"/>
            <w:tcBorders>
              <w:top w:val="nil"/>
              <w:left w:val="nil"/>
              <w:bottom w:val="single" w:sz="8" w:space="0" w:color="auto"/>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217.174.286.338</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100,0%</w:t>
            </w:r>
          </w:p>
        </w:tc>
        <w:tc>
          <w:tcPr>
            <w:tcW w:w="1560" w:type="dxa"/>
            <w:tcBorders>
              <w:top w:val="nil"/>
              <w:left w:val="nil"/>
              <w:bottom w:val="single" w:sz="8" w:space="0" w:color="auto"/>
              <w:right w:val="nil"/>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230.413.268.870</w:t>
            </w:r>
          </w:p>
        </w:tc>
        <w:tc>
          <w:tcPr>
            <w:tcW w:w="708" w:type="dxa"/>
            <w:tcBorders>
              <w:top w:val="nil"/>
              <w:left w:val="single" w:sz="4" w:space="0" w:color="auto"/>
              <w:bottom w:val="single" w:sz="8" w:space="0" w:color="auto"/>
              <w:right w:val="single" w:sz="8" w:space="0" w:color="auto"/>
            </w:tcBorders>
            <w:shd w:val="clear" w:color="auto" w:fill="auto"/>
            <w:noWrap/>
            <w:vAlign w:val="bottom"/>
            <w:hideMark/>
          </w:tcPr>
          <w:p w:rsidR="006B580D" w:rsidRPr="000A0F07" w:rsidRDefault="006B580D" w:rsidP="006B580D">
            <w:pPr>
              <w:jc w:val="right"/>
              <w:rPr>
                <w:b/>
                <w:bCs/>
                <w:sz w:val="18"/>
                <w:szCs w:val="18"/>
              </w:rPr>
            </w:pPr>
            <w:r w:rsidRPr="000A0F07">
              <w:rPr>
                <w:b/>
                <w:bCs/>
                <w:sz w:val="18"/>
                <w:szCs w:val="18"/>
              </w:rPr>
              <w:t>100,0%</w:t>
            </w:r>
          </w:p>
        </w:tc>
      </w:tr>
    </w:tbl>
    <w:p w:rsidR="009851C6" w:rsidRPr="000A0F07" w:rsidRDefault="009851C6" w:rsidP="00C83AB5">
      <w:pPr>
        <w:spacing w:after="200" w:line="276" w:lineRule="auto"/>
        <w:contextualSpacing/>
        <w:jc w:val="both"/>
        <w:rPr>
          <w:rFonts w:eastAsiaTheme="minorHAnsi"/>
          <w:lang w:eastAsia="en-US"/>
        </w:rPr>
      </w:pPr>
    </w:p>
    <w:p w:rsidR="009851C6" w:rsidRPr="000A0F07" w:rsidRDefault="009851C6" w:rsidP="009851C6">
      <w:pPr>
        <w:pStyle w:val="Odlomakpopisa"/>
        <w:numPr>
          <w:ilvl w:val="0"/>
          <w:numId w:val="6"/>
        </w:numPr>
        <w:spacing w:after="200" w:line="276" w:lineRule="auto"/>
        <w:jc w:val="both"/>
        <w:rPr>
          <w:rFonts w:eastAsiaTheme="minorHAnsi"/>
          <w:b/>
          <w:i/>
          <w:lang w:eastAsia="en-US"/>
        </w:rPr>
      </w:pPr>
      <w:r w:rsidRPr="000A0F07">
        <w:rPr>
          <w:rFonts w:eastAsiaTheme="minorHAnsi"/>
          <w:b/>
          <w:i/>
          <w:lang w:eastAsia="en-US"/>
        </w:rPr>
        <w:t>Valutna struktura državnog duga</w:t>
      </w:r>
    </w:p>
    <w:p w:rsidR="007616E6" w:rsidRPr="000A0F07" w:rsidRDefault="00CB3034" w:rsidP="007616E6">
      <w:pPr>
        <w:spacing w:before="240" w:line="276" w:lineRule="auto"/>
        <w:jc w:val="both"/>
        <w:rPr>
          <w:rFonts w:eastAsiaTheme="minorHAnsi"/>
          <w:lang w:eastAsia="en-US"/>
        </w:rPr>
      </w:pPr>
      <w:r w:rsidRPr="000A0F07">
        <w:rPr>
          <w:rFonts w:eastAsiaTheme="minorHAnsi"/>
          <w:lang w:eastAsia="en-US"/>
        </w:rPr>
        <w:t>Valutna struktura duga krajem 2017. godine pokazuje dominaciju dviju valuta, kuna i eura. Udio duga denominiranog u eurima je 64,6% ukupnog državnog duga i najvećim je dijelom rezultat izdavanja obveznica denominiranih u eurima te korištenje projektnih zajmova međunarodnih financijskih institucija.</w:t>
      </w:r>
      <w:r w:rsidR="007616E6" w:rsidRPr="000A0F07">
        <w:rPr>
          <w:rFonts w:eastAsiaTheme="minorHAnsi"/>
          <w:lang w:eastAsia="en-US"/>
        </w:rPr>
        <w:t xml:space="preserve"> U dijelu duga denominiranog u eurima jedan dio se odnosi na dug koji se izražava u eurima, a plativ je u kunama i čini 16,7% ukupnog duga. Dug denominiran u kunama čini 31,3% ukupnog državnog duga i rezultat je orijentacije </w:t>
      </w:r>
      <w:r w:rsidR="007616E6" w:rsidRPr="000A0F07">
        <w:rPr>
          <w:rFonts w:eastAsiaTheme="minorHAnsi"/>
          <w:lang w:eastAsia="en-US"/>
        </w:rPr>
        <w:lastRenderedPageBreak/>
        <w:t>zaduživanja na domaćem tržištu kapitala, što je ujedno pridonijelo i razvoju dugoročne krivulje prinosa u nacionalnoj valuti. Osim kuna i eura koji dominiraju u valutnoj strukturi, udio duga denominiranog u dolarima čini 4,1%.</w:t>
      </w:r>
    </w:p>
    <w:p w:rsidR="00855349" w:rsidRPr="000A0F07" w:rsidRDefault="00855349" w:rsidP="009C5A67">
      <w:pPr>
        <w:pStyle w:val="Opisslike"/>
        <w:keepNext/>
        <w:rPr>
          <w:b w:val="0"/>
          <w:i/>
          <w:color w:val="auto"/>
          <w:sz w:val="24"/>
          <w:szCs w:val="24"/>
        </w:rPr>
      </w:pPr>
    </w:p>
    <w:p w:rsidR="009C5A67" w:rsidRPr="000A0F07" w:rsidRDefault="009C5A67" w:rsidP="009C5A67">
      <w:pPr>
        <w:pStyle w:val="Opisslike"/>
        <w:keepNext/>
        <w:rPr>
          <w:b w:val="0"/>
          <w:i/>
          <w:color w:val="auto"/>
          <w:sz w:val="24"/>
          <w:szCs w:val="24"/>
        </w:rPr>
      </w:pPr>
      <w:r w:rsidRPr="000A0F07">
        <w:rPr>
          <w:b w:val="0"/>
          <w:i/>
          <w:color w:val="auto"/>
          <w:sz w:val="24"/>
          <w:szCs w:val="24"/>
        </w:rPr>
        <w:t xml:space="preserve">Grafikon </w:t>
      </w:r>
      <w:r w:rsidRPr="000A0F07">
        <w:rPr>
          <w:b w:val="0"/>
          <w:i/>
          <w:color w:val="auto"/>
          <w:sz w:val="24"/>
          <w:szCs w:val="24"/>
        </w:rPr>
        <w:fldChar w:fldCharType="begin"/>
      </w:r>
      <w:r w:rsidRPr="000A0F07">
        <w:rPr>
          <w:b w:val="0"/>
          <w:i/>
          <w:color w:val="auto"/>
          <w:sz w:val="24"/>
          <w:szCs w:val="24"/>
        </w:rPr>
        <w:instrText xml:space="preserve"> SEQ Grafikon \* ARABIC </w:instrText>
      </w:r>
      <w:r w:rsidRPr="000A0F07">
        <w:rPr>
          <w:b w:val="0"/>
          <w:i/>
          <w:color w:val="auto"/>
          <w:sz w:val="24"/>
          <w:szCs w:val="24"/>
        </w:rPr>
        <w:fldChar w:fldCharType="separate"/>
      </w:r>
      <w:r w:rsidR="00E94121">
        <w:rPr>
          <w:b w:val="0"/>
          <w:i/>
          <w:noProof/>
          <w:color w:val="auto"/>
          <w:sz w:val="24"/>
          <w:szCs w:val="24"/>
        </w:rPr>
        <w:t>1</w:t>
      </w:r>
      <w:r w:rsidRPr="000A0F07">
        <w:rPr>
          <w:b w:val="0"/>
          <w:i/>
          <w:color w:val="auto"/>
          <w:sz w:val="24"/>
          <w:szCs w:val="24"/>
        </w:rPr>
        <w:fldChar w:fldCharType="end"/>
      </w:r>
      <w:r w:rsidRPr="000A0F07">
        <w:rPr>
          <w:b w:val="0"/>
          <w:i/>
          <w:color w:val="auto"/>
          <w:sz w:val="24"/>
          <w:szCs w:val="24"/>
        </w:rPr>
        <w:t>. Valutna struktura državnog duga na dan 31. prosinca 2017.</w:t>
      </w:r>
    </w:p>
    <w:p w:rsidR="00841D91" w:rsidRPr="000A0F07" w:rsidRDefault="009C5A67" w:rsidP="009C5A67">
      <w:pPr>
        <w:spacing w:after="200" w:line="276" w:lineRule="auto"/>
        <w:jc w:val="center"/>
        <w:rPr>
          <w:rFonts w:eastAsiaTheme="minorHAnsi"/>
          <w:lang w:eastAsia="en-US"/>
        </w:rPr>
      </w:pPr>
      <w:r w:rsidRPr="000A0F07">
        <w:rPr>
          <w:rFonts w:eastAsiaTheme="minorHAnsi"/>
          <w:noProof/>
        </w:rPr>
        <w:drawing>
          <wp:inline distT="0" distB="0" distL="0" distR="0" wp14:anchorId="193E6ECF" wp14:editId="0B2DB679">
            <wp:extent cx="4641742" cy="2781230"/>
            <wp:effectExtent l="0" t="0" r="6985"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459" cy="2781060"/>
                    </a:xfrm>
                    <a:prstGeom prst="rect">
                      <a:avLst/>
                    </a:prstGeom>
                    <a:noFill/>
                  </pic:spPr>
                </pic:pic>
              </a:graphicData>
            </a:graphic>
          </wp:inline>
        </w:drawing>
      </w:r>
    </w:p>
    <w:p w:rsidR="009C5A67" w:rsidRPr="000A0F07" w:rsidRDefault="009C5A67" w:rsidP="009C5A67">
      <w:pPr>
        <w:pStyle w:val="Opisslike"/>
        <w:keepNext/>
        <w:rPr>
          <w:b w:val="0"/>
          <w:i/>
          <w:color w:val="auto"/>
          <w:sz w:val="24"/>
          <w:szCs w:val="24"/>
        </w:rPr>
      </w:pPr>
      <w:r w:rsidRPr="000A0F07">
        <w:rPr>
          <w:b w:val="0"/>
          <w:i/>
          <w:color w:val="auto"/>
          <w:sz w:val="24"/>
          <w:szCs w:val="24"/>
        </w:rPr>
        <w:t xml:space="preserve">Grafikon </w:t>
      </w:r>
      <w:r w:rsidRPr="000A0F07">
        <w:rPr>
          <w:b w:val="0"/>
          <w:i/>
          <w:color w:val="auto"/>
          <w:sz w:val="24"/>
          <w:szCs w:val="24"/>
        </w:rPr>
        <w:fldChar w:fldCharType="begin"/>
      </w:r>
      <w:r w:rsidRPr="000A0F07">
        <w:rPr>
          <w:b w:val="0"/>
          <w:i/>
          <w:color w:val="auto"/>
          <w:sz w:val="24"/>
          <w:szCs w:val="24"/>
        </w:rPr>
        <w:instrText xml:space="preserve"> SEQ Grafikon \* ARABIC </w:instrText>
      </w:r>
      <w:r w:rsidRPr="000A0F07">
        <w:rPr>
          <w:b w:val="0"/>
          <w:i/>
          <w:color w:val="auto"/>
          <w:sz w:val="24"/>
          <w:szCs w:val="24"/>
        </w:rPr>
        <w:fldChar w:fldCharType="separate"/>
      </w:r>
      <w:r w:rsidR="00E94121">
        <w:rPr>
          <w:b w:val="0"/>
          <w:i/>
          <w:noProof/>
          <w:color w:val="auto"/>
          <w:sz w:val="24"/>
          <w:szCs w:val="24"/>
        </w:rPr>
        <w:t>2</w:t>
      </w:r>
      <w:r w:rsidRPr="000A0F07">
        <w:rPr>
          <w:b w:val="0"/>
          <w:i/>
          <w:color w:val="auto"/>
          <w:sz w:val="24"/>
          <w:szCs w:val="24"/>
        </w:rPr>
        <w:fldChar w:fldCharType="end"/>
      </w:r>
      <w:r w:rsidRPr="000A0F07">
        <w:rPr>
          <w:b w:val="0"/>
          <w:i/>
          <w:color w:val="auto"/>
          <w:sz w:val="24"/>
          <w:szCs w:val="24"/>
        </w:rPr>
        <w:t>. Kretanje valutne strukture državnog duga u razdoblju 2015. - 2017.</w:t>
      </w:r>
    </w:p>
    <w:p w:rsidR="00B36969" w:rsidRPr="000A0F07" w:rsidRDefault="009C5A67" w:rsidP="009C5A67">
      <w:pPr>
        <w:spacing w:after="200" w:line="276" w:lineRule="auto"/>
        <w:jc w:val="center"/>
        <w:rPr>
          <w:rFonts w:eastAsiaTheme="minorHAnsi"/>
          <w:lang w:eastAsia="en-US"/>
        </w:rPr>
      </w:pPr>
      <w:r w:rsidRPr="000A0F07">
        <w:rPr>
          <w:rFonts w:eastAsiaTheme="minorHAnsi"/>
          <w:noProof/>
        </w:rPr>
        <w:drawing>
          <wp:inline distT="0" distB="0" distL="0" distR="0" wp14:anchorId="73BDE711" wp14:editId="57567055">
            <wp:extent cx="4982483" cy="3208149"/>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2651" cy="3208257"/>
                    </a:xfrm>
                    <a:prstGeom prst="rect">
                      <a:avLst/>
                    </a:prstGeom>
                    <a:noFill/>
                  </pic:spPr>
                </pic:pic>
              </a:graphicData>
            </a:graphic>
          </wp:inline>
        </w:drawing>
      </w:r>
    </w:p>
    <w:p w:rsidR="00855349" w:rsidRPr="000A0F07" w:rsidRDefault="00855349" w:rsidP="00855349">
      <w:pPr>
        <w:spacing w:before="240" w:line="276" w:lineRule="auto"/>
        <w:jc w:val="both"/>
        <w:rPr>
          <w:rFonts w:eastAsiaTheme="minorHAnsi"/>
          <w:lang w:eastAsia="en-US"/>
        </w:rPr>
      </w:pPr>
      <w:r w:rsidRPr="000A0F07">
        <w:rPr>
          <w:rFonts w:eastAsiaTheme="minorHAnsi"/>
          <w:lang w:eastAsia="en-US"/>
        </w:rPr>
        <w:t xml:space="preserve">Grafikon 2 prikazuje kretanje valutne strukture državnog duga u razdoblju 2015. - 2017. iz kojeg je vidljivo da se udio duga u kunama povećao sa 26,7%, koliko je iznosio potkraj 2015. godine, na 31,3% koliki je bio krajem 2017. Istovremeno se smanjio udio duga s valutnom klauzulom s 19,8% na 16,7% kao rezultat orijentacije zaduživanja na domaćem tržištu izdavanjem obveznica u kunama. U istom razdoblju udio duga denominiranog u dolarima </w:t>
      </w:r>
      <w:r w:rsidRPr="000A0F07">
        <w:rPr>
          <w:rFonts w:eastAsiaTheme="minorHAnsi"/>
          <w:lang w:eastAsia="en-US"/>
        </w:rPr>
        <w:lastRenderedPageBreak/>
        <w:t>smanjio se s 5,3% na 4,1%. Iz svega navedenog je vidljivo da se tijekom 2017. godine uz osnovni cilj zaduživanja i upravljanja dugom vodilo računa o ublažavanju valutnog rizika javnog duga, što je bio jedan od ciljeva trogodišnje strategije upravljanja</w:t>
      </w:r>
      <w:r w:rsidR="003E5878">
        <w:rPr>
          <w:rFonts w:eastAsiaTheme="minorHAnsi"/>
          <w:lang w:eastAsia="en-US"/>
        </w:rPr>
        <w:t xml:space="preserve"> dugom</w:t>
      </w:r>
      <w:r w:rsidRPr="000A0F07">
        <w:rPr>
          <w:rFonts w:eastAsiaTheme="minorHAnsi"/>
          <w:lang w:eastAsia="en-US"/>
        </w:rPr>
        <w:t>.</w:t>
      </w:r>
    </w:p>
    <w:p w:rsidR="009C5A67" w:rsidRPr="000A0F07" w:rsidRDefault="009C5A67" w:rsidP="00855349">
      <w:pPr>
        <w:spacing w:after="200" w:line="276" w:lineRule="auto"/>
        <w:rPr>
          <w:rFonts w:eastAsiaTheme="minorHAnsi"/>
          <w:lang w:eastAsia="en-US"/>
        </w:rPr>
      </w:pPr>
    </w:p>
    <w:p w:rsidR="00841D91" w:rsidRPr="000A0F07" w:rsidRDefault="00841D91" w:rsidP="00841D91">
      <w:pPr>
        <w:pStyle w:val="Odlomakpopisa"/>
        <w:numPr>
          <w:ilvl w:val="0"/>
          <w:numId w:val="6"/>
        </w:numPr>
        <w:spacing w:after="200" w:line="276" w:lineRule="auto"/>
        <w:jc w:val="both"/>
        <w:rPr>
          <w:rFonts w:eastAsiaTheme="minorHAnsi"/>
          <w:b/>
          <w:i/>
          <w:lang w:eastAsia="en-US"/>
        </w:rPr>
      </w:pPr>
      <w:r w:rsidRPr="000A0F07">
        <w:rPr>
          <w:rFonts w:eastAsiaTheme="minorHAnsi"/>
          <w:b/>
          <w:i/>
          <w:lang w:eastAsia="en-US"/>
        </w:rPr>
        <w:t>Kamatna struktura državnog duga</w:t>
      </w:r>
    </w:p>
    <w:p w:rsidR="00841D91" w:rsidRPr="000A0F07" w:rsidRDefault="00C11D2E" w:rsidP="00841D91">
      <w:pPr>
        <w:spacing w:after="200" w:line="276" w:lineRule="auto"/>
        <w:jc w:val="both"/>
        <w:rPr>
          <w:rFonts w:eastAsiaTheme="minorHAnsi"/>
          <w:lang w:eastAsia="en-US"/>
        </w:rPr>
      </w:pPr>
      <w:r>
        <w:rPr>
          <w:rFonts w:eastAsiaTheme="minorHAnsi"/>
          <w:lang w:eastAsia="en-US"/>
        </w:rPr>
        <w:t>Potkraj 2017. godine 88,9% dugoročnog duga državnog proračuna čine instrumenti s fiksnom kamatnom stopom. Taj udio se povećao</w:t>
      </w:r>
      <w:r w:rsidR="00A33AE0" w:rsidRPr="000A0F07">
        <w:rPr>
          <w:rFonts w:eastAsiaTheme="minorHAnsi"/>
          <w:lang w:eastAsia="en-US"/>
        </w:rPr>
        <w:t xml:space="preserve"> s 82,2%</w:t>
      </w:r>
      <w:r w:rsidR="00CA0C6D" w:rsidRPr="000A0F07">
        <w:rPr>
          <w:rFonts w:eastAsiaTheme="minorHAnsi"/>
          <w:lang w:eastAsia="en-US"/>
        </w:rPr>
        <w:t xml:space="preserve"> koliko je iznosio potkraj 2015. godine  </w:t>
      </w:r>
      <w:r w:rsidR="00913142" w:rsidRPr="000A0F07">
        <w:rPr>
          <w:rFonts w:eastAsiaTheme="minorHAnsi"/>
          <w:lang w:eastAsia="en-US"/>
        </w:rPr>
        <w:t xml:space="preserve">ponajprije kao </w:t>
      </w:r>
      <w:r w:rsidR="00913142" w:rsidRPr="000A0F07">
        <w:t xml:space="preserve">posljedica jednim dijelom supstitucije kreditnih zaduženja </w:t>
      </w:r>
      <w:proofErr w:type="spellStart"/>
      <w:r w:rsidR="00913142" w:rsidRPr="000A0F07">
        <w:t>obvezničkim</w:t>
      </w:r>
      <w:proofErr w:type="spellEnd"/>
      <w:r w:rsidR="00913142" w:rsidRPr="000A0F07">
        <w:t xml:space="preserve"> instrumentima</w:t>
      </w:r>
      <w:r w:rsidR="00620A1C" w:rsidRPr="000A0F07">
        <w:t xml:space="preserve"> s fiksnom kamatnom stopom</w:t>
      </w:r>
      <w:r>
        <w:t>, i</w:t>
      </w:r>
      <w:r w:rsidR="003E5878">
        <w:t>z čega je</w:t>
      </w:r>
      <w:r w:rsidR="00620A1C" w:rsidRPr="000A0F07">
        <w:t xml:space="preserve"> vidljivo da se </w:t>
      </w:r>
      <w:r>
        <w:t>vo</w:t>
      </w:r>
      <w:r w:rsidR="00620A1C" w:rsidRPr="000A0F07">
        <w:t>dilo računa o ublažavanju kamatnog rizika javnog duga</w:t>
      </w:r>
      <w:r>
        <w:t xml:space="preserve"> što je bio jedan od ciljeva strategije upravljanja dugom</w:t>
      </w:r>
      <w:r w:rsidR="00620A1C" w:rsidRPr="000A0F07">
        <w:t xml:space="preserve">. </w:t>
      </w:r>
      <w:r w:rsidR="00913142" w:rsidRPr="000A0F07">
        <w:t xml:space="preserve">Kretanje strukture dugoročnog državnog duga prema vrsti kamatne stope prikazano je grafikonom </w:t>
      </w:r>
      <w:r w:rsidR="00650098" w:rsidRPr="000A0F07">
        <w:t>3</w:t>
      </w:r>
      <w:r w:rsidR="00913142" w:rsidRPr="000A0F07">
        <w:t>.</w:t>
      </w:r>
    </w:p>
    <w:p w:rsidR="00B36969" w:rsidRPr="000A0F07" w:rsidRDefault="00B36969" w:rsidP="00B36969">
      <w:pPr>
        <w:pStyle w:val="Opisslike"/>
        <w:keepNext/>
        <w:jc w:val="both"/>
        <w:rPr>
          <w:b w:val="0"/>
          <w:i/>
          <w:color w:val="auto"/>
          <w:sz w:val="24"/>
          <w:szCs w:val="24"/>
        </w:rPr>
      </w:pPr>
      <w:r w:rsidRPr="000A0F07">
        <w:rPr>
          <w:b w:val="0"/>
          <w:i/>
          <w:color w:val="auto"/>
          <w:sz w:val="24"/>
          <w:szCs w:val="24"/>
        </w:rPr>
        <w:t xml:space="preserve">Grafikon </w:t>
      </w:r>
      <w:r w:rsidRPr="000A0F07">
        <w:rPr>
          <w:b w:val="0"/>
          <w:i/>
          <w:color w:val="auto"/>
          <w:sz w:val="24"/>
          <w:szCs w:val="24"/>
        </w:rPr>
        <w:fldChar w:fldCharType="begin"/>
      </w:r>
      <w:r w:rsidRPr="000A0F07">
        <w:rPr>
          <w:b w:val="0"/>
          <w:i/>
          <w:color w:val="auto"/>
          <w:sz w:val="24"/>
          <w:szCs w:val="24"/>
        </w:rPr>
        <w:instrText xml:space="preserve"> SEQ Grafikon \* ARABIC </w:instrText>
      </w:r>
      <w:r w:rsidRPr="000A0F07">
        <w:rPr>
          <w:b w:val="0"/>
          <w:i/>
          <w:color w:val="auto"/>
          <w:sz w:val="24"/>
          <w:szCs w:val="24"/>
        </w:rPr>
        <w:fldChar w:fldCharType="separate"/>
      </w:r>
      <w:r w:rsidR="00E94121">
        <w:rPr>
          <w:b w:val="0"/>
          <w:i/>
          <w:noProof/>
          <w:color w:val="auto"/>
          <w:sz w:val="24"/>
          <w:szCs w:val="24"/>
        </w:rPr>
        <w:t>3</w:t>
      </w:r>
      <w:r w:rsidRPr="000A0F07">
        <w:rPr>
          <w:b w:val="0"/>
          <w:i/>
          <w:color w:val="auto"/>
          <w:sz w:val="24"/>
          <w:szCs w:val="24"/>
        </w:rPr>
        <w:fldChar w:fldCharType="end"/>
      </w:r>
      <w:r w:rsidRPr="000A0F07">
        <w:rPr>
          <w:b w:val="0"/>
          <w:i/>
          <w:color w:val="auto"/>
          <w:sz w:val="24"/>
          <w:szCs w:val="24"/>
        </w:rPr>
        <w:t>. Kretanje strukture dugoročnog državnog duga prema vrsti kamatne stope</w:t>
      </w:r>
    </w:p>
    <w:p w:rsidR="00841D91" w:rsidRPr="000A0F07" w:rsidRDefault="00841D91" w:rsidP="00B36969">
      <w:pPr>
        <w:spacing w:after="200" w:line="276" w:lineRule="auto"/>
        <w:jc w:val="center"/>
        <w:rPr>
          <w:rFonts w:eastAsiaTheme="minorHAnsi"/>
          <w:b/>
          <w:lang w:eastAsia="en-US"/>
        </w:rPr>
      </w:pPr>
      <w:r w:rsidRPr="000A0F07">
        <w:rPr>
          <w:rFonts w:eastAsiaTheme="minorHAnsi"/>
          <w:b/>
          <w:noProof/>
        </w:rPr>
        <w:drawing>
          <wp:inline distT="0" distB="0" distL="0" distR="0" wp14:anchorId="2A206225" wp14:editId="3761E32F">
            <wp:extent cx="4484914" cy="2585473"/>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4914" cy="2585473"/>
                    </a:xfrm>
                    <a:prstGeom prst="rect">
                      <a:avLst/>
                    </a:prstGeom>
                    <a:noFill/>
                  </pic:spPr>
                </pic:pic>
              </a:graphicData>
            </a:graphic>
          </wp:inline>
        </w:drawing>
      </w:r>
    </w:p>
    <w:p w:rsidR="00841D91" w:rsidRPr="000A0F07" w:rsidRDefault="00841D91" w:rsidP="00B36969">
      <w:pPr>
        <w:spacing w:after="200" w:line="276" w:lineRule="auto"/>
        <w:jc w:val="both"/>
        <w:rPr>
          <w:rFonts w:eastAsiaTheme="minorHAnsi"/>
          <w:b/>
          <w:i/>
          <w:lang w:eastAsia="en-US"/>
        </w:rPr>
      </w:pPr>
    </w:p>
    <w:p w:rsidR="00841D91" w:rsidRPr="000A0F07" w:rsidRDefault="002C0D6C" w:rsidP="002C0D6C">
      <w:pPr>
        <w:pStyle w:val="Odlomakpopisa"/>
        <w:numPr>
          <w:ilvl w:val="0"/>
          <w:numId w:val="6"/>
        </w:numPr>
        <w:spacing w:after="200" w:line="276" w:lineRule="auto"/>
        <w:jc w:val="both"/>
        <w:rPr>
          <w:rFonts w:eastAsiaTheme="minorHAnsi"/>
          <w:b/>
          <w:i/>
          <w:lang w:eastAsia="en-US"/>
        </w:rPr>
      </w:pPr>
      <w:r w:rsidRPr="000A0F07">
        <w:rPr>
          <w:rFonts w:eastAsiaTheme="minorHAnsi"/>
          <w:b/>
          <w:i/>
          <w:lang w:eastAsia="en-US"/>
        </w:rPr>
        <w:t>Ročna struktura državnog duga</w:t>
      </w:r>
    </w:p>
    <w:p w:rsidR="006C74CF" w:rsidRPr="000A0F07" w:rsidRDefault="00913BB5" w:rsidP="006C74CF">
      <w:pPr>
        <w:spacing w:after="200" w:line="276" w:lineRule="auto"/>
        <w:jc w:val="both"/>
        <w:rPr>
          <w:rFonts w:eastAsiaTheme="minorHAnsi"/>
          <w:lang w:eastAsia="en-US"/>
        </w:rPr>
      </w:pPr>
      <w:r w:rsidRPr="000A0F07">
        <w:rPr>
          <w:rFonts w:eastAsiaTheme="minorHAnsi"/>
          <w:lang w:eastAsia="en-US"/>
        </w:rPr>
        <w:t xml:space="preserve">Projekcija otplata glavnica domaćeg i inozemnog duga u razdoblju 2018. - 2028. prikazana je grafikonom </w:t>
      </w:r>
      <w:r w:rsidR="00650098" w:rsidRPr="000A0F07">
        <w:rPr>
          <w:rFonts w:eastAsiaTheme="minorHAnsi"/>
          <w:lang w:eastAsia="en-US"/>
        </w:rPr>
        <w:t>4</w:t>
      </w:r>
      <w:r w:rsidRPr="000A0F07">
        <w:rPr>
          <w:rFonts w:eastAsiaTheme="minorHAnsi"/>
          <w:lang w:eastAsia="en-US"/>
        </w:rPr>
        <w:t>. U projekciju nisu uključene obveze po trezorskim zapisima</w:t>
      </w:r>
      <w:r w:rsidR="00B36969" w:rsidRPr="000A0F07">
        <w:rPr>
          <w:rFonts w:eastAsiaTheme="minorHAnsi"/>
          <w:lang w:eastAsia="en-US"/>
        </w:rPr>
        <w:t>,</w:t>
      </w:r>
      <w:r w:rsidRPr="000A0F07">
        <w:rPr>
          <w:rFonts w:eastAsiaTheme="minorHAnsi"/>
          <w:lang w:eastAsia="en-US"/>
        </w:rPr>
        <w:t xml:space="preserve"> koje su potkraj 2017. godine iznosile 28,6 milijardi kuna. Bez dospijeća trezorskih zapisa, u 2018. godini potrebno je otplatiti dugoročnih obveza u iznosu 16,7 milijardi kuna. S obzirom da je za jedan od zadataka upravljanja javnim dugom važno održavati ravnomjeran teret otplata u nadolazećem razdoblju, </w:t>
      </w:r>
      <w:r w:rsidR="00EC2BBB" w:rsidRPr="000A0F07">
        <w:rPr>
          <w:rFonts w:eastAsiaTheme="minorHAnsi"/>
          <w:lang w:eastAsia="en-US"/>
        </w:rPr>
        <w:t xml:space="preserve">prilikom zaduživanja </w:t>
      </w:r>
      <w:r w:rsidRPr="000A0F07">
        <w:rPr>
          <w:rFonts w:eastAsiaTheme="minorHAnsi"/>
          <w:lang w:eastAsia="en-US"/>
        </w:rPr>
        <w:t xml:space="preserve">posebna </w:t>
      </w:r>
      <w:r w:rsidR="00C560E4">
        <w:rPr>
          <w:rFonts w:eastAsiaTheme="minorHAnsi"/>
          <w:lang w:eastAsia="en-US"/>
        </w:rPr>
        <w:t xml:space="preserve">se </w:t>
      </w:r>
      <w:r w:rsidRPr="000A0F07">
        <w:rPr>
          <w:rFonts w:eastAsiaTheme="minorHAnsi"/>
          <w:lang w:eastAsia="en-US"/>
        </w:rPr>
        <w:t xml:space="preserve">pažnja </w:t>
      </w:r>
      <w:r w:rsidR="00EC2BBB" w:rsidRPr="000A0F07">
        <w:rPr>
          <w:rFonts w:eastAsiaTheme="minorHAnsi"/>
          <w:lang w:eastAsia="en-US"/>
        </w:rPr>
        <w:t xml:space="preserve">pridavala </w:t>
      </w:r>
      <w:r w:rsidR="00B36969" w:rsidRPr="000A0F07">
        <w:rPr>
          <w:rFonts w:eastAsiaTheme="minorHAnsi"/>
          <w:lang w:eastAsia="en-US"/>
        </w:rPr>
        <w:t xml:space="preserve"> zadržavanju </w:t>
      </w:r>
      <w:r w:rsidRPr="000A0F07">
        <w:rPr>
          <w:rFonts w:eastAsiaTheme="minorHAnsi"/>
          <w:lang w:eastAsia="en-US"/>
        </w:rPr>
        <w:t>ujednačenog dospijeća duga.</w:t>
      </w:r>
      <w:r w:rsidR="00EC2BBB" w:rsidRPr="000A0F07">
        <w:rPr>
          <w:rFonts w:eastAsiaTheme="minorHAnsi"/>
          <w:lang w:eastAsia="en-US"/>
        </w:rPr>
        <w:t xml:space="preserve"> Koristila se</w:t>
      </w:r>
      <w:r w:rsidRPr="000A0F07">
        <w:rPr>
          <w:rFonts w:eastAsiaTheme="minorHAnsi"/>
          <w:lang w:eastAsia="en-US"/>
        </w:rPr>
        <w:t xml:space="preserve"> mogućnost refinanciranja postojećeg duga po povoljnijim uvjetima i s dužim razdobljem otplate s obzirom na trenutnu situaciju na financijskim tržištima.</w:t>
      </w:r>
    </w:p>
    <w:p w:rsidR="00B36969" w:rsidRPr="000A0F07" w:rsidRDefault="00B36969" w:rsidP="00B36969">
      <w:pPr>
        <w:pStyle w:val="Opisslike"/>
        <w:keepNext/>
        <w:jc w:val="both"/>
        <w:rPr>
          <w:b w:val="0"/>
          <w:i/>
          <w:color w:val="auto"/>
          <w:sz w:val="24"/>
          <w:szCs w:val="24"/>
        </w:rPr>
      </w:pPr>
      <w:r w:rsidRPr="000A0F07">
        <w:rPr>
          <w:b w:val="0"/>
          <w:i/>
          <w:color w:val="auto"/>
          <w:sz w:val="24"/>
          <w:szCs w:val="24"/>
        </w:rPr>
        <w:lastRenderedPageBreak/>
        <w:t xml:space="preserve">Grafikon </w:t>
      </w:r>
      <w:r w:rsidRPr="000A0F07">
        <w:rPr>
          <w:b w:val="0"/>
          <w:i/>
          <w:color w:val="auto"/>
          <w:sz w:val="24"/>
          <w:szCs w:val="24"/>
        </w:rPr>
        <w:fldChar w:fldCharType="begin"/>
      </w:r>
      <w:r w:rsidRPr="000A0F07">
        <w:rPr>
          <w:b w:val="0"/>
          <w:i/>
          <w:color w:val="auto"/>
          <w:sz w:val="24"/>
          <w:szCs w:val="24"/>
        </w:rPr>
        <w:instrText xml:space="preserve"> SEQ Grafikon \* ARABIC </w:instrText>
      </w:r>
      <w:r w:rsidRPr="000A0F07">
        <w:rPr>
          <w:b w:val="0"/>
          <w:i/>
          <w:color w:val="auto"/>
          <w:sz w:val="24"/>
          <w:szCs w:val="24"/>
        </w:rPr>
        <w:fldChar w:fldCharType="separate"/>
      </w:r>
      <w:r w:rsidR="00E94121">
        <w:rPr>
          <w:b w:val="0"/>
          <w:i/>
          <w:noProof/>
          <w:color w:val="auto"/>
          <w:sz w:val="24"/>
          <w:szCs w:val="24"/>
        </w:rPr>
        <w:t>4</w:t>
      </w:r>
      <w:r w:rsidRPr="000A0F07">
        <w:rPr>
          <w:b w:val="0"/>
          <w:i/>
          <w:color w:val="auto"/>
          <w:sz w:val="24"/>
          <w:szCs w:val="24"/>
        </w:rPr>
        <w:fldChar w:fldCharType="end"/>
      </w:r>
      <w:r w:rsidRPr="000A0F07">
        <w:rPr>
          <w:b w:val="0"/>
          <w:i/>
          <w:color w:val="auto"/>
          <w:sz w:val="24"/>
          <w:szCs w:val="24"/>
        </w:rPr>
        <w:t>. Projekcija otplata glavnica domaćeg i inozemnog duga u razdoblju 2018. - 2028.</w:t>
      </w:r>
    </w:p>
    <w:p w:rsidR="00841D91" w:rsidRPr="000A0F07" w:rsidRDefault="00913BB5" w:rsidP="00B36969">
      <w:pPr>
        <w:spacing w:after="200" w:line="276" w:lineRule="auto"/>
        <w:jc w:val="center"/>
        <w:rPr>
          <w:rFonts w:eastAsiaTheme="minorHAnsi"/>
          <w:lang w:eastAsia="en-US"/>
        </w:rPr>
      </w:pPr>
      <w:r w:rsidRPr="000A0F07">
        <w:rPr>
          <w:rFonts w:eastAsiaTheme="minorHAnsi"/>
          <w:noProof/>
        </w:rPr>
        <w:drawing>
          <wp:inline distT="0" distB="0" distL="0" distR="0" wp14:anchorId="41554F53" wp14:editId="00D10769">
            <wp:extent cx="5301189" cy="33528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743" cy="3354415"/>
                    </a:xfrm>
                    <a:prstGeom prst="rect">
                      <a:avLst/>
                    </a:prstGeom>
                    <a:noFill/>
                  </pic:spPr>
                </pic:pic>
              </a:graphicData>
            </a:graphic>
          </wp:inline>
        </w:drawing>
      </w:r>
    </w:p>
    <w:p w:rsidR="008047D8" w:rsidRPr="000A0F07" w:rsidRDefault="008047D8" w:rsidP="00B36969">
      <w:pPr>
        <w:spacing w:after="200" w:line="276" w:lineRule="auto"/>
        <w:jc w:val="center"/>
        <w:rPr>
          <w:rFonts w:eastAsiaTheme="minorHAnsi"/>
          <w:lang w:eastAsia="en-US"/>
        </w:rPr>
      </w:pPr>
    </w:p>
    <w:p w:rsidR="008047D8" w:rsidRDefault="008047D8" w:rsidP="008047D8">
      <w:pPr>
        <w:pStyle w:val="Opisslike"/>
        <w:keepNext/>
        <w:rPr>
          <w:b w:val="0"/>
          <w:i/>
          <w:color w:val="auto"/>
          <w:sz w:val="24"/>
          <w:szCs w:val="24"/>
        </w:rPr>
      </w:pPr>
      <w:r w:rsidRPr="000A0F07">
        <w:rPr>
          <w:b w:val="0"/>
          <w:i/>
          <w:color w:val="auto"/>
          <w:sz w:val="24"/>
          <w:szCs w:val="24"/>
        </w:rPr>
        <w:t xml:space="preserve">Tablica </w:t>
      </w:r>
      <w:r w:rsidRPr="000A0F07">
        <w:rPr>
          <w:b w:val="0"/>
          <w:i/>
          <w:color w:val="auto"/>
          <w:sz w:val="24"/>
          <w:szCs w:val="24"/>
        </w:rPr>
        <w:fldChar w:fldCharType="begin"/>
      </w:r>
      <w:r w:rsidRPr="000A0F07">
        <w:rPr>
          <w:b w:val="0"/>
          <w:i/>
          <w:color w:val="auto"/>
          <w:sz w:val="24"/>
          <w:szCs w:val="24"/>
        </w:rPr>
        <w:instrText xml:space="preserve"> SEQ Tablica \* ARABIC </w:instrText>
      </w:r>
      <w:r w:rsidRPr="000A0F07">
        <w:rPr>
          <w:b w:val="0"/>
          <w:i/>
          <w:color w:val="auto"/>
          <w:sz w:val="24"/>
          <w:szCs w:val="24"/>
        </w:rPr>
        <w:fldChar w:fldCharType="separate"/>
      </w:r>
      <w:r w:rsidR="00E94121">
        <w:rPr>
          <w:b w:val="0"/>
          <w:i/>
          <w:noProof/>
          <w:color w:val="auto"/>
          <w:sz w:val="24"/>
          <w:szCs w:val="24"/>
        </w:rPr>
        <w:t>6</w:t>
      </w:r>
      <w:r w:rsidRPr="000A0F07">
        <w:rPr>
          <w:b w:val="0"/>
          <w:i/>
          <w:color w:val="auto"/>
          <w:sz w:val="24"/>
          <w:szCs w:val="24"/>
        </w:rPr>
        <w:fldChar w:fldCharType="end"/>
      </w:r>
      <w:r w:rsidRPr="000A0F07">
        <w:rPr>
          <w:b w:val="0"/>
          <w:i/>
          <w:color w:val="auto"/>
          <w:sz w:val="24"/>
          <w:szCs w:val="24"/>
        </w:rPr>
        <w:t>. Projekcije otplata glavnica državnog duga 2018. - 2028.</w:t>
      </w:r>
    </w:p>
    <w:tbl>
      <w:tblPr>
        <w:tblW w:w="9058" w:type="dxa"/>
        <w:tblInd w:w="93" w:type="dxa"/>
        <w:tblLook w:val="04A0" w:firstRow="1" w:lastRow="0" w:firstColumn="1" w:lastColumn="0" w:noHBand="0" w:noVBand="1"/>
      </w:tblPr>
      <w:tblGrid>
        <w:gridCol w:w="1840"/>
        <w:gridCol w:w="1268"/>
        <w:gridCol w:w="1190"/>
        <w:gridCol w:w="1190"/>
        <w:gridCol w:w="1190"/>
        <w:gridCol w:w="1190"/>
        <w:gridCol w:w="1190"/>
      </w:tblGrid>
      <w:tr w:rsidR="0044207F" w:rsidTr="0044207F">
        <w:trPr>
          <w:trHeight w:val="522"/>
        </w:trPr>
        <w:tc>
          <w:tcPr>
            <w:tcW w:w="1840" w:type="dxa"/>
            <w:tcBorders>
              <w:top w:val="single" w:sz="4" w:space="0" w:color="auto"/>
              <w:left w:val="single" w:sz="4" w:space="0" w:color="auto"/>
              <w:bottom w:val="single" w:sz="8" w:space="0" w:color="auto"/>
              <w:right w:val="nil"/>
            </w:tcBorders>
            <w:shd w:val="clear" w:color="000000" w:fill="99CCFF"/>
            <w:noWrap/>
            <w:vAlign w:val="center"/>
            <w:hideMark/>
          </w:tcPr>
          <w:p w:rsidR="0044207F" w:rsidRDefault="0044207F">
            <w:pPr>
              <w:rPr>
                <w:rFonts w:ascii="Arial" w:hAnsi="Arial" w:cs="Arial"/>
                <w:b/>
                <w:bCs/>
                <w:sz w:val="14"/>
                <w:szCs w:val="14"/>
              </w:rPr>
            </w:pPr>
            <w:r>
              <w:rPr>
                <w:rFonts w:ascii="Arial" w:hAnsi="Arial" w:cs="Arial"/>
                <w:b/>
                <w:bCs/>
                <w:sz w:val="14"/>
                <w:szCs w:val="14"/>
              </w:rPr>
              <w:t> </w:t>
            </w:r>
          </w:p>
        </w:tc>
        <w:tc>
          <w:tcPr>
            <w:tcW w:w="1268" w:type="dxa"/>
            <w:tcBorders>
              <w:top w:val="single" w:sz="4" w:space="0" w:color="auto"/>
              <w:left w:val="single" w:sz="4" w:space="0" w:color="auto"/>
              <w:bottom w:val="single" w:sz="8" w:space="0" w:color="auto"/>
              <w:right w:val="single" w:sz="4" w:space="0" w:color="auto"/>
            </w:tcBorders>
            <w:shd w:val="clear" w:color="000000" w:fill="99CCFF"/>
            <w:vAlign w:val="center"/>
            <w:hideMark/>
          </w:tcPr>
          <w:p w:rsidR="0044207F" w:rsidRDefault="0044207F">
            <w:pPr>
              <w:jc w:val="center"/>
              <w:rPr>
                <w:rFonts w:ascii="Arial" w:hAnsi="Arial" w:cs="Arial"/>
                <w:b/>
                <w:bCs/>
                <w:sz w:val="14"/>
                <w:szCs w:val="14"/>
              </w:rPr>
            </w:pPr>
            <w:r>
              <w:rPr>
                <w:rFonts w:ascii="Arial" w:hAnsi="Arial" w:cs="Arial"/>
                <w:b/>
                <w:bCs/>
                <w:sz w:val="14"/>
                <w:szCs w:val="14"/>
              </w:rPr>
              <w:t>Stanje obveza  31.12.2017.</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2018.</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2019.</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2020.</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2021.</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color w:val="000000"/>
                <w:sz w:val="14"/>
                <w:szCs w:val="14"/>
              </w:rPr>
            </w:pPr>
            <w:r>
              <w:rPr>
                <w:rFonts w:ascii="Arial" w:hAnsi="Arial" w:cs="Arial"/>
                <w:b/>
                <w:bCs/>
                <w:color w:val="000000"/>
                <w:sz w:val="14"/>
                <w:szCs w:val="14"/>
              </w:rPr>
              <w:t>2022.</w:t>
            </w:r>
          </w:p>
        </w:tc>
      </w:tr>
      <w:tr w:rsidR="0044207F" w:rsidTr="0044207F">
        <w:trPr>
          <w:trHeight w:val="259"/>
        </w:trPr>
        <w:tc>
          <w:tcPr>
            <w:tcW w:w="1840" w:type="dxa"/>
            <w:tcBorders>
              <w:top w:val="nil"/>
              <w:left w:val="single" w:sz="4" w:space="0" w:color="auto"/>
              <w:bottom w:val="single" w:sz="4" w:space="0" w:color="auto"/>
              <w:right w:val="nil"/>
            </w:tcBorders>
            <w:shd w:val="clear" w:color="auto" w:fill="auto"/>
            <w:noWrap/>
            <w:vAlign w:val="center"/>
            <w:hideMark/>
          </w:tcPr>
          <w:p w:rsidR="0044207F" w:rsidRDefault="0044207F">
            <w:pPr>
              <w:rPr>
                <w:rFonts w:ascii="Arial" w:hAnsi="Arial" w:cs="Arial"/>
                <w:sz w:val="14"/>
                <w:szCs w:val="14"/>
              </w:rPr>
            </w:pPr>
            <w:r>
              <w:rPr>
                <w:rFonts w:ascii="Arial" w:hAnsi="Arial" w:cs="Arial"/>
                <w:sz w:val="14"/>
                <w:szCs w:val="14"/>
              </w:rPr>
              <w:t>Trezorski zapisi</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28.600.693.820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17.343.633.682</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11.257.060.138</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FF0000"/>
                <w:sz w:val="14"/>
                <w:szCs w:val="14"/>
              </w:rPr>
            </w:pPr>
            <w:r>
              <w:rPr>
                <w:rFonts w:ascii="Arial" w:hAnsi="Arial" w:cs="Arial"/>
                <w:color w:val="FF0000"/>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FF0000"/>
                <w:sz w:val="14"/>
                <w:szCs w:val="14"/>
              </w:rPr>
            </w:pPr>
            <w:r>
              <w:rPr>
                <w:rFonts w:ascii="Arial" w:hAnsi="Arial" w:cs="Arial"/>
                <w:color w:val="FF0000"/>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 </w:t>
            </w:r>
          </w:p>
        </w:tc>
      </w:tr>
      <w:tr w:rsidR="0044207F" w:rsidTr="0044207F">
        <w:trPr>
          <w:trHeight w:val="259"/>
        </w:trPr>
        <w:tc>
          <w:tcPr>
            <w:tcW w:w="1840" w:type="dxa"/>
            <w:tcBorders>
              <w:top w:val="nil"/>
              <w:left w:val="single" w:sz="4" w:space="0" w:color="auto"/>
              <w:bottom w:val="single" w:sz="4" w:space="0" w:color="auto"/>
              <w:right w:val="nil"/>
            </w:tcBorders>
            <w:shd w:val="clear" w:color="auto" w:fill="auto"/>
            <w:noWrap/>
            <w:vAlign w:val="center"/>
            <w:hideMark/>
          </w:tcPr>
          <w:p w:rsidR="0044207F" w:rsidRDefault="0044207F">
            <w:pPr>
              <w:rPr>
                <w:rFonts w:ascii="Arial" w:hAnsi="Arial" w:cs="Arial"/>
                <w:sz w:val="14"/>
                <w:szCs w:val="14"/>
              </w:rPr>
            </w:pPr>
            <w:r>
              <w:rPr>
                <w:rFonts w:ascii="Arial" w:hAnsi="Arial" w:cs="Arial"/>
                <w:sz w:val="14"/>
                <w:szCs w:val="14"/>
              </w:rPr>
              <w:t>Domaće obveznice</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83.360.051.200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6.000.000.000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7.513.648.000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12.513.648.000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6.000.000.000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10.513.648.000</w:t>
            </w:r>
          </w:p>
        </w:tc>
      </w:tr>
      <w:tr w:rsidR="0044207F" w:rsidTr="0044207F">
        <w:trPr>
          <w:trHeight w:val="259"/>
        </w:trPr>
        <w:tc>
          <w:tcPr>
            <w:tcW w:w="1840" w:type="dxa"/>
            <w:tcBorders>
              <w:top w:val="nil"/>
              <w:left w:val="single" w:sz="4" w:space="0" w:color="auto"/>
              <w:bottom w:val="single" w:sz="4" w:space="0" w:color="auto"/>
              <w:right w:val="nil"/>
            </w:tcBorders>
            <w:shd w:val="clear" w:color="auto" w:fill="auto"/>
            <w:noWrap/>
            <w:vAlign w:val="center"/>
            <w:hideMark/>
          </w:tcPr>
          <w:p w:rsidR="0044207F" w:rsidRDefault="0044207F">
            <w:pPr>
              <w:rPr>
                <w:rFonts w:ascii="Arial" w:hAnsi="Arial" w:cs="Arial"/>
                <w:sz w:val="14"/>
                <w:szCs w:val="14"/>
              </w:rPr>
            </w:pPr>
            <w:r>
              <w:rPr>
                <w:rFonts w:ascii="Arial" w:hAnsi="Arial" w:cs="Arial"/>
                <w:sz w:val="14"/>
                <w:szCs w:val="14"/>
              </w:rPr>
              <w:t>Inozemne obveznice</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87.946.272.979</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5.635.236.000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9.404.599.500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6.630.469.467</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8.122.862.703</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9.392.060.000</w:t>
            </w:r>
          </w:p>
        </w:tc>
      </w:tr>
      <w:tr w:rsidR="0044207F" w:rsidTr="0044207F">
        <w:trPr>
          <w:trHeight w:val="259"/>
        </w:trPr>
        <w:tc>
          <w:tcPr>
            <w:tcW w:w="1840" w:type="dxa"/>
            <w:tcBorders>
              <w:top w:val="nil"/>
              <w:left w:val="single" w:sz="4" w:space="0" w:color="auto"/>
              <w:bottom w:val="single" w:sz="4" w:space="0" w:color="auto"/>
              <w:right w:val="nil"/>
            </w:tcBorders>
            <w:shd w:val="clear" w:color="auto" w:fill="auto"/>
            <w:vAlign w:val="center"/>
            <w:hideMark/>
          </w:tcPr>
          <w:p w:rsidR="0044207F" w:rsidRDefault="0044207F">
            <w:pPr>
              <w:rPr>
                <w:rFonts w:ascii="Arial" w:hAnsi="Arial" w:cs="Arial"/>
                <w:sz w:val="14"/>
                <w:szCs w:val="14"/>
              </w:rPr>
            </w:pPr>
            <w:r>
              <w:rPr>
                <w:rFonts w:ascii="Arial" w:hAnsi="Arial" w:cs="Arial"/>
                <w:sz w:val="14"/>
                <w:szCs w:val="14"/>
              </w:rPr>
              <w:t>Krediti na domaćem tržištu</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18.135.298.127</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4.427.367.633</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3.197.646.437</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2.265.866.304</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5.153.914.630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1.721.905.858</w:t>
            </w:r>
          </w:p>
        </w:tc>
      </w:tr>
      <w:tr w:rsidR="0044207F" w:rsidTr="0044207F">
        <w:trPr>
          <w:trHeight w:val="259"/>
        </w:trPr>
        <w:tc>
          <w:tcPr>
            <w:tcW w:w="1840" w:type="dxa"/>
            <w:tcBorders>
              <w:top w:val="nil"/>
              <w:left w:val="single" w:sz="4" w:space="0" w:color="auto"/>
              <w:bottom w:val="nil"/>
              <w:right w:val="nil"/>
            </w:tcBorders>
            <w:shd w:val="clear" w:color="auto" w:fill="auto"/>
            <w:vAlign w:val="center"/>
            <w:hideMark/>
          </w:tcPr>
          <w:p w:rsidR="0044207F" w:rsidRDefault="0044207F">
            <w:pPr>
              <w:rPr>
                <w:rFonts w:ascii="Arial" w:hAnsi="Arial" w:cs="Arial"/>
                <w:sz w:val="14"/>
                <w:szCs w:val="14"/>
              </w:rPr>
            </w:pPr>
            <w:r>
              <w:rPr>
                <w:rFonts w:ascii="Arial" w:hAnsi="Arial" w:cs="Arial"/>
                <w:sz w:val="14"/>
                <w:szCs w:val="14"/>
              </w:rPr>
              <w:t>Krediti na inozemnom tržištu</w:t>
            </w:r>
          </w:p>
        </w:tc>
        <w:tc>
          <w:tcPr>
            <w:tcW w:w="1268" w:type="dxa"/>
            <w:tcBorders>
              <w:top w:val="nil"/>
              <w:left w:val="single" w:sz="4" w:space="0" w:color="auto"/>
              <w:bottom w:val="nil"/>
              <w:right w:val="single" w:sz="4" w:space="0" w:color="auto"/>
            </w:tcBorders>
            <w:shd w:val="clear" w:color="auto" w:fill="auto"/>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12.370.952.724</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805.817.993</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795.683.040</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733.662.882</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675.423.923</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668.543.093</w:t>
            </w:r>
          </w:p>
        </w:tc>
      </w:tr>
      <w:tr w:rsidR="0044207F" w:rsidTr="0044207F">
        <w:trPr>
          <w:trHeight w:val="259"/>
        </w:trPr>
        <w:tc>
          <w:tcPr>
            <w:tcW w:w="1840" w:type="dxa"/>
            <w:tcBorders>
              <w:top w:val="single" w:sz="8" w:space="0" w:color="auto"/>
              <w:left w:val="single" w:sz="4" w:space="0" w:color="auto"/>
              <w:bottom w:val="single" w:sz="8" w:space="0" w:color="auto"/>
              <w:right w:val="nil"/>
            </w:tcBorders>
            <w:shd w:val="clear" w:color="000000" w:fill="99CCFF"/>
            <w:noWrap/>
            <w:vAlign w:val="center"/>
            <w:hideMark/>
          </w:tcPr>
          <w:p w:rsidR="0044207F" w:rsidRDefault="0044207F">
            <w:pPr>
              <w:rPr>
                <w:rFonts w:ascii="Arial" w:hAnsi="Arial" w:cs="Arial"/>
                <w:b/>
                <w:bCs/>
                <w:sz w:val="14"/>
                <w:szCs w:val="14"/>
              </w:rPr>
            </w:pPr>
            <w:r>
              <w:rPr>
                <w:rFonts w:ascii="Arial" w:hAnsi="Arial" w:cs="Arial"/>
                <w:b/>
                <w:bCs/>
                <w:sz w:val="14"/>
                <w:szCs w:val="14"/>
              </w:rPr>
              <w:t>Ukupno</w:t>
            </w:r>
          </w:p>
        </w:tc>
        <w:tc>
          <w:tcPr>
            <w:tcW w:w="1268" w:type="dxa"/>
            <w:tcBorders>
              <w:top w:val="single" w:sz="8" w:space="0" w:color="auto"/>
              <w:left w:val="single" w:sz="4" w:space="0" w:color="auto"/>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230.413.268.850</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34.212.055.308</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32.168.637.115</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22.143.646.653</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19.952.201.255</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22.296.156.951</w:t>
            </w:r>
          </w:p>
        </w:tc>
      </w:tr>
      <w:tr w:rsidR="0044207F" w:rsidTr="0044207F">
        <w:trPr>
          <w:trHeight w:val="259"/>
        </w:trPr>
        <w:tc>
          <w:tcPr>
            <w:tcW w:w="1840" w:type="dxa"/>
            <w:tcBorders>
              <w:top w:val="nil"/>
              <w:left w:val="nil"/>
              <w:bottom w:val="nil"/>
              <w:right w:val="nil"/>
            </w:tcBorders>
            <w:shd w:val="clear" w:color="auto" w:fill="auto"/>
            <w:noWrap/>
            <w:vAlign w:val="center"/>
            <w:hideMark/>
          </w:tcPr>
          <w:p w:rsidR="0044207F" w:rsidRDefault="0044207F">
            <w:pPr>
              <w:rPr>
                <w:rFonts w:ascii="Arial" w:hAnsi="Arial" w:cs="Arial"/>
                <w:i/>
                <w:iCs/>
                <w:sz w:val="14"/>
                <w:szCs w:val="14"/>
              </w:rPr>
            </w:pPr>
          </w:p>
        </w:tc>
        <w:tc>
          <w:tcPr>
            <w:tcW w:w="1268" w:type="dxa"/>
            <w:tcBorders>
              <w:top w:val="nil"/>
              <w:left w:val="nil"/>
              <w:bottom w:val="nil"/>
              <w:right w:val="nil"/>
            </w:tcBorders>
            <w:shd w:val="clear" w:color="auto" w:fill="auto"/>
            <w:noWrap/>
            <w:vAlign w:val="center"/>
            <w:hideMark/>
          </w:tcPr>
          <w:p w:rsidR="0044207F" w:rsidRDefault="0044207F">
            <w:pPr>
              <w:jc w:val="center"/>
              <w:rPr>
                <w:rFonts w:ascii="Arial" w:hAnsi="Arial" w:cs="Arial"/>
                <w:i/>
                <w:iCs/>
                <w:sz w:val="14"/>
                <w:szCs w:val="14"/>
              </w:rPr>
            </w:pPr>
          </w:p>
        </w:tc>
        <w:tc>
          <w:tcPr>
            <w:tcW w:w="1190" w:type="dxa"/>
            <w:tcBorders>
              <w:top w:val="nil"/>
              <w:left w:val="nil"/>
              <w:bottom w:val="nil"/>
              <w:right w:val="nil"/>
            </w:tcBorders>
            <w:shd w:val="clear" w:color="auto" w:fill="auto"/>
            <w:noWrap/>
            <w:vAlign w:val="center"/>
            <w:hideMark/>
          </w:tcPr>
          <w:p w:rsidR="0044207F" w:rsidRDefault="0044207F">
            <w:pPr>
              <w:jc w:val="center"/>
              <w:rPr>
                <w:rFonts w:ascii="Arial" w:hAnsi="Arial" w:cs="Arial"/>
                <w:sz w:val="14"/>
                <w:szCs w:val="14"/>
              </w:rPr>
            </w:pPr>
          </w:p>
        </w:tc>
        <w:tc>
          <w:tcPr>
            <w:tcW w:w="1190" w:type="dxa"/>
            <w:tcBorders>
              <w:top w:val="nil"/>
              <w:left w:val="nil"/>
              <w:bottom w:val="nil"/>
              <w:right w:val="nil"/>
            </w:tcBorders>
            <w:shd w:val="clear" w:color="auto" w:fill="auto"/>
            <w:noWrap/>
            <w:vAlign w:val="center"/>
            <w:hideMark/>
          </w:tcPr>
          <w:p w:rsidR="0044207F" w:rsidRDefault="0044207F">
            <w:pPr>
              <w:jc w:val="center"/>
              <w:rPr>
                <w:rFonts w:ascii="Arial" w:hAnsi="Arial" w:cs="Arial"/>
                <w:sz w:val="14"/>
                <w:szCs w:val="14"/>
              </w:rPr>
            </w:pPr>
          </w:p>
        </w:tc>
        <w:tc>
          <w:tcPr>
            <w:tcW w:w="1190" w:type="dxa"/>
            <w:tcBorders>
              <w:top w:val="nil"/>
              <w:left w:val="nil"/>
              <w:bottom w:val="nil"/>
              <w:right w:val="nil"/>
            </w:tcBorders>
            <w:shd w:val="clear" w:color="auto" w:fill="auto"/>
            <w:noWrap/>
            <w:vAlign w:val="center"/>
            <w:hideMark/>
          </w:tcPr>
          <w:p w:rsidR="0044207F" w:rsidRDefault="0044207F">
            <w:pPr>
              <w:jc w:val="center"/>
              <w:rPr>
                <w:rFonts w:ascii="Arial" w:hAnsi="Arial" w:cs="Arial"/>
                <w:sz w:val="14"/>
                <w:szCs w:val="14"/>
              </w:rPr>
            </w:pPr>
          </w:p>
        </w:tc>
        <w:tc>
          <w:tcPr>
            <w:tcW w:w="1190" w:type="dxa"/>
            <w:tcBorders>
              <w:top w:val="nil"/>
              <w:left w:val="nil"/>
              <w:bottom w:val="nil"/>
              <w:right w:val="nil"/>
            </w:tcBorders>
            <w:shd w:val="clear" w:color="auto" w:fill="auto"/>
            <w:noWrap/>
            <w:vAlign w:val="center"/>
            <w:hideMark/>
          </w:tcPr>
          <w:p w:rsidR="0044207F" w:rsidRDefault="0044207F">
            <w:pPr>
              <w:jc w:val="center"/>
              <w:rPr>
                <w:rFonts w:ascii="Arial" w:hAnsi="Arial" w:cs="Arial"/>
                <w:sz w:val="14"/>
                <w:szCs w:val="14"/>
              </w:rPr>
            </w:pPr>
          </w:p>
        </w:tc>
        <w:tc>
          <w:tcPr>
            <w:tcW w:w="1190" w:type="dxa"/>
            <w:tcBorders>
              <w:top w:val="nil"/>
              <w:left w:val="nil"/>
              <w:bottom w:val="nil"/>
              <w:right w:val="nil"/>
            </w:tcBorders>
            <w:shd w:val="clear" w:color="auto" w:fill="auto"/>
            <w:noWrap/>
            <w:vAlign w:val="center"/>
            <w:hideMark/>
          </w:tcPr>
          <w:p w:rsidR="0044207F" w:rsidRDefault="0044207F">
            <w:pPr>
              <w:jc w:val="center"/>
              <w:rPr>
                <w:rFonts w:ascii="Arial" w:hAnsi="Arial" w:cs="Arial"/>
                <w:sz w:val="14"/>
                <w:szCs w:val="14"/>
              </w:rPr>
            </w:pPr>
          </w:p>
        </w:tc>
      </w:tr>
      <w:tr w:rsidR="0044207F" w:rsidTr="0044207F">
        <w:trPr>
          <w:trHeight w:val="522"/>
        </w:trPr>
        <w:tc>
          <w:tcPr>
            <w:tcW w:w="1840" w:type="dxa"/>
            <w:tcBorders>
              <w:top w:val="single" w:sz="4" w:space="0" w:color="auto"/>
              <w:left w:val="single" w:sz="4" w:space="0" w:color="auto"/>
              <w:bottom w:val="single" w:sz="8" w:space="0" w:color="auto"/>
              <w:right w:val="single" w:sz="4" w:space="0" w:color="auto"/>
            </w:tcBorders>
            <w:shd w:val="clear" w:color="000000" w:fill="99CCFF"/>
            <w:noWrap/>
            <w:vAlign w:val="center"/>
            <w:hideMark/>
          </w:tcPr>
          <w:p w:rsidR="0044207F" w:rsidRDefault="0044207F">
            <w:pPr>
              <w:rPr>
                <w:rFonts w:ascii="Arial" w:hAnsi="Arial" w:cs="Arial"/>
                <w:b/>
                <w:bCs/>
                <w:sz w:val="14"/>
                <w:szCs w:val="14"/>
              </w:rPr>
            </w:pPr>
            <w:r>
              <w:rPr>
                <w:rFonts w:ascii="Arial" w:hAnsi="Arial" w:cs="Arial"/>
                <w:b/>
                <w:bCs/>
                <w:sz w:val="14"/>
                <w:szCs w:val="14"/>
              </w:rPr>
              <w:t>Oblici zaduženja</w:t>
            </w:r>
          </w:p>
        </w:tc>
        <w:tc>
          <w:tcPr>
            <w:tcW w:w="1268"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color w:val="000000"/>
                <w:sz w:val="14"/>
                <w:szCs w:val="14"/>
              </w:rPr>
            </w:pPr>
            <w:r>
              <w:rPr>
                <w:rFonts w:ascii="Arial" w:hAnsi="Arial" w:cs="Arial"/>
                <w:b/>
                <w:bCs/>
                <w:color w:val="000000"/>
                <w:sz w:val="14"/>
                <w:szCs w:val="14"/>
              </w:rPr>
              <w:t>2023.</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2024.</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2025.</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2026.</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 xml:space="preserve">2027. </w:t>
            </w:r>
          </w:p>
        </w:tc>
        <w:tc>
          <w:tcPr>
            <w:tcW w:w="1190" w:type="dxa"/>
            <w:tcBorders>
              <w:top w:val="single" w:sz="4" w:space="0" w:color="auto"/>
              <w:left w:val="nil"/>
              <w:bottom w:val="single" w:sz="8" w:space="0" w:color="auto"/>
              <w:right w:val="single" w:sz="4" w:space="0" w:color="auto"/>
            </w:tcBorders>
            <w:shd w:val="clear" w:color="000000" w:fill="99CCFF"/>
            <w:noWrap/>
            <w:vAlign w:val="center"/>
            <w:hideMark/>
          </w:tcPr>
          <w:p w:rsidR="0044207F" w:rsidRDefault="0044207F">
            <w:pPr>
              <w:jc w:val="center"/>
              <w:rPr>
                <w:rFonts w:ascii="Arial" w:hAnsi="Arial" w:cs="Arial"/>
                <w:b/>
                <w:bCs/>
                <w:sz w:val="14"/>
                <w:szCs w:val="14"/>
              </w:rPr>
            </w:pPr>
            <w:r>
              <w:rPr>
                <w:rFonts w:ascii="Arial" w:hAnsi="Arial" w:cs="Arial"/>
                <w:b/>
                <w:bCs/>
                <w:sz w:val="14"/>
                <w:szCs w:val="14"/>
              </w:rPr>
              <w:t>2028. i dalje</w:t>
            </w:r>
          </w:p>
        </w:tc>
      </w:tr>
      <w:tr w:rsidR="0044207F" w:rsidTr="0044207F">
        <w:trPr>
          <w:trHeight w:val="259"/>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4207F" w:rsidRDefault="0044207F">
            <w:pPr>
              <w:rPr>
                <w:rFonts w:ascii="Arial" w:hAnsi="Arial" w:cs="Arial"/>
                <w:sz w:val="14"/>
                <w:szCs w:val="14"/>
              </w:rPr>
            </w:pPr>
            <w:r>
              <w:rPr>
                <w:rFonts w:ascii="Arial" w:hAnsi="Arial" w:cs="Arial"/>
                <w:sz w:val="14"/>
                <w:szCs w:val="14"/>
              </w:rPr>
              <w:t>Trezorski zapisi</w:t>
            </w:r>
          </w:p>
        </w:tc>
        <w:tc>
          <w:tcPr>
            <w:tcW w:w="1268"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 </w:t>
            </w:r>
          </w:p>
        </w:tc>
      </w:tr>
      <w:tr w:rsidR="0044207F" w:rsidTr="0044207F">
        <w:trPr>
          <w:trHeight w:val="259"/>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4207F" w:rsidRDefault="0044207F">
            <w:pPr>
              <w:rPr>
                <w:rFonts w:ascii="Arial" w:hAnsi="Arial" w:cs="Arial"/>
                <w:sz w:val="14"/>
                <w:szCs w:val="14"/>
              </w:rPr>
            </w:pPr>
            <w:r>
              <w:rPr>
                <w:rFonts w:ascii="Arial" w:hAnsi="Arial" w:cs="Arial"/>
                <w:sz w:val="14"/>
                <w:szCs w:val="14"/>
              </w:rPr>
              <w:t>Domaće obveznice</w:t>
            </w:r>
          </w:p>
        </w:tc>
        <w:tc>
          <w:tcPr>
            <w:tcW w:w="1268"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5.800.000.000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10.519.107.200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6.000.000.000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10.000.000.000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8.500.000.000</w:t>
            </w:r>
          </w:p>
        </w:tc>
      </w:tr>
      <w:tr w:rsidR="0044207F" w:rsidTr="0044207F">
        <w:trPr>
          <w:trHeight w:val="259"/>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4207F" w:rsidRDefault="0044207F">
            <w:pPr>
              <w:rPr>
                <w:rFonts w:ascii="Arial" w:hAnsi="Arial" w:cs="Arial"/>
                <w:sz w:val="14"/>
                <w:szCs w:val="14"/>
              </w:rPr>
            </w:pPr>
            <w:r>
              <w:rPr>
                <w:rFonts w:ascii="Arial" w:hAnsi="Arial" w:cs="Arial"/>
                <w:sz w:val="14"/>
                <w:szCs w:val="14"/>
              </w:rPr>
              <w:t>Inozemne obveznice</w:t>
            </w:r>
          </w:p>
        </w:tc>
        <w:tc>
          <w:tcPr>
            <w:tcW w:w="1268"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8.771.477.936</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9.747.134.173</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11.270.472.000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 </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9.392.060.000</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sz w:val="14"/>
                <w:szCs w:val="14"/>
              </w:rPr>
            </w:pPr>
            <w:r>
              <w:rPr>
                <w:rFonts w:ascii="Arial" w:hAnsi="Arial" w:cs="Arial"/>
                <w:sz w:val="14"/>
                <w:szCs w:val="14"/>
              </w:rPr>
              <w:t>9.579.901.200</w:t>
            </w:r>
          </w:p>
        </w:tc>
      </w:tr>
      <w:tr w:rsidR="0044207F" w:rsidTr="0044207F">
        <w:trPr>
          <w:trHeight w:val="25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4207F" w:rsidRDefault="0044207F">
            <w:pPr>
              <w:rPr>
                <w:rFonts w:ascii="Arial" w:hAnsi="Arial" w:cs="Arial"/>
                <w:sz w:val="14"/>
                <w:szCs w:val="14"/>
              </w:rPr>
            </w:pPr>
            <w:r>
              <w:rPr>
                <w:rFonts w:ascii="Arial" w:hAnsi="Arial" w:cs="Arial"/>
                <w:sz w:val="14"/>
                <w:szCs w:val="14"/>
              </w:rPr>
              <w:t>Krediti na domaćem tržištu</w:t>
            </w:r>
          </w:p>
        </w:tc>
        <w:tc>
          <w:tcPr>
            <w:tcW w:w="1268"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454.132.798</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505.236.172</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94.798.962</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94.798.962</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76.319.619</w:t>
            </w:r>
          </w:p>
        </w:tc>
        <w:tc>
          <w:tcPr>
            <w:tcW w:w="1190" w:type="dxa"/>
            <w:tcBorders>
              <w:top w:val="nil"/>
              <w:left w:val="nil"/>
              <w:bottom w:val="single" w:sz="4" w:space="0" w:color="auto"/>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143.310.752</w:t>
            </w:r>
          </w:p>
        </w:tc>
      </w:tr>
      <w:tr w:rsidR="0044207F" w:rsidTr="0044207F">
        <w:trPr>
          <w:trHeight w:val="259"/>
        </w:trPr>
        <w:tc>
          <w:tcPr>
            <w:tcW w:w="1840" w:type="dxa"/>
            <w:tcBorders>
              <w:top w:val="nil"/>
              <w:left w:val="single" w:sz="4" w:space="0" w:color="auto"/>
              <w:bottom w:val="nil"/>
              <w:right w:val="single" w:sz="4" w:space="0" w:color="auto"/>
            </w:tcBorders>
            <w:shd w:val="clear" w:color="auto" w:fill="auto"/>
            <w:vAlign w:val="center"/>
            <w:hideMark/>
          </w:tcPr>
          <w:p w:rsidR="0044207F" w:rsidRDefault="0044207F">
            <w:pPr>
              <w:rPr>
                <w:rFonts w:ascii="Arial" w:hAnsi="Arial" w:cs="Arial"/>
                <w:sz w:val="14"/>
                <w:szCs w:val="14"/>
              </w:rPr>
            </w:pPr>
            <w:r>
              <w:rPr>
                <w:rFonts w:ascii="Arial" w:hAnsi="Arial" w:cs="Arial"/>
                <w:sz w:val="14"/>
                <w:szCs w:val="14"/>
              </w:rPr>
              <w:t>Krediti na inozemnom tržištu</w:t>
            </w:r>
          </w:p>
        </w:tc>
        <w:tc>
          <w:tcPr>
            <w:tcW w:w="1268"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545.987.090</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443.887.060</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1.887.365.690</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1.477.489.985</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468.804.239</w:t>
            </w:r>
          </w:p>
        </w:tc>
        <w:tc>
          <w:tcPr>
            <w:tcW w:w="1190" w:type="dxa"/>
            <w:tcBorders>
              <w:top w:val="nil"/>
              <w:left w:val="nil"/>
              <w:bottom w:val="nil"/>
              <w:right w:val="single" w:sz="4" w:space="0" w:color="auto"/>
            </w:tcBorders>
            <w:shd w:val="clear" w:color="auto" w:fill="auto"/>
            <w:noWrap/>
            <w:vAlign w:val="center"/>
            <w:hideMark/>
          </w:tcPr>
          <w:p w:rsidR="0044207F" w:rsidRDefault="0044207F">
            <w:pPr>
              <w:jc w:val="right"/>
              <w:rPr>
                <w:rFonts w:ascii="Arial" w:hAnsi="Arial" w:cs="Arial"/>
                <w:color w:val="000000"/>
                <w:sz w:val="14"/>
                <w:szCs w:val="14"/>
              </w:rPr>
            </w:pPr>
            <w:r>
              <w:rPr>
                <w:rFonts w:ascii="Arial" w:hAnsi="Arial" w:cs="Arial"/>
                <w:color w:val="000000"/>
                <w:sz w:val="14"/>
                <w:szCs w:val="14"/>
              </w:rPr>
              <w:t>3.868.287.729</w:t>
            </w:r>
          </w:p>
        </w:tc>
      </w:tr>
      <w:tr w:rsidR="0044207F" w:rsidTr="0044207F">
        <w:trPr>
          <w:trHeight w:val="259"/>
        </w:trPr>
        <w:tc>
          <w:tcPr>
            <w:tcW w:w="1840" w:type="dxa"/>
            <w:tcBorders>
              <w:top w:val="single" w:sz="8" w:space="0" w:color="auto"/>
              <w:left w:val="single" w:sz="4" w:space="0" w:color="auto"/>
              <w:bottom w:val="single" w:sz="8" w:space="0" w:color="auto"/>
              <w:right w:val="single" w:sz="4" w:space="0" w:color="auto"/>
            </w:tcBorders>
            <w:shd w:val="clear" w:color="000000" w:fill="99CCFF"/>
            <w:noWrap/>
            <w:vAlign w:val="center"/>
            <w:hideMark/>
          </w:tcPr>
          <w:p w:rsidR="0044207F" w:rsidRDefault="0044207F">
            <w:pPr>
              <w:rPr>
                <w:rFonts w:ascii="Arial" w:hAnsi="Arial" w:cs="Arial"/>
                <w:b/>
                <w:bCs/>
                <w:sz w:val="14"/>
                <w:szCs w:val="14"/>
              </w:rPr>
            </w:pPr>
            <w:r>
              <w:rPr>
                <w:rFonts w:ascii="Arial" w:hAnsi="Arial" w:cs="Arial"/>
                <w:b/>
                <w:bCs/>
                <w:sz w:val="14"/>
                <w:szCs w:val="14"/>
              </w:rPr>
              <w:t>Ukupno</w:t>
            </w:r>
          </w:p>
        </w:tc>
        <w:tc>
          <w:tcPr>
            <w:tcW w:w="1268"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color w:val="000000"/>
                <w:sz w:val="14"/>
                <w:szCs w:val="14"/>
              </w:rPr>
            </w:pPr>
            <w:r>
              <w:rPr>
                <w:rFonts w:ascii="Arial" w:hAnsi="Arial" w:cs="Arial"/>
                <w:b/>
                <w:bCs/>
                <w:color w:val="000000"/>
                <w:sz w:val="14"/>
                <w:szCs w:val="14"/>
              </w:rPr>
              <w:t>15.571.597.824</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sz w:val="14"/>
                <w:szCs w:val="14"/>
              </w:rPr>
            </w:pPr>
            <w:r>
              <w:rPr>
                <w:rFonts w:ascii="Arial" w:hAnsi="Arial" w:cs="Arial"/>
                <w:b/>
                <w:bCs/>
                <w:sz w:val="14"/>
                <w:szCs w:val="14"/>
              </w:rPr>
              <w:t>21.215.364.605</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sz w:val="14"/>
                <w:szCs w:val="14"/>
              </w:rPr>
            </w:pPr>
            <w:r>
              <w:rPr>
                <w:rFonts w:ascii="Arial" w:hAnsi="Arial" w:cs="Arial"/>
                <w:b/>
                <w:bCs/>
                <w:sz w:val="14"/>
                <w:szCs w:val="14"/>
              </w:rPr>
              <w:t>19.252.636.652</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sz w:val="14"/>
                <w:szCs w:val="14"/>
              </w:rPr>
            </w:pPr>
            <w:r>
              <w:rPr>
                <w:rFonts w:ascii="Arial" w:hAnsi="Arial" w:cs="Arial"/>
                <w:b/>
                <w:bCs/>
                <w:sz w:val="14"/>
                <w:szCs w:val="14"/>
              </w:rPr>
              <w:t>11.572.288.947</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sz w:val="14"/>
                <w:szCs w:val="14"/>
              </w:rPr>
            </w:pPr>
            <w:r>
              <w:rPr>
                <w:rFonts w:ascii="Arial" w:hAnsi="Arial" w:cs="Arial"/>
                <w:b/>
                <w:bCs/>
                <w:sz w:val="14"/>
                <w:szCs w:val="14"/>
              </w:rPr>
              <w:t>9.937.183.859</w:t>
            </w:r>
          </w:p>
        </w:tc>
        <w:tc>
          <w:tcPr>
            <w:tcW w:w="1190" w:type="dxa"/>
            <w:tcBorders>
              <w:top w:val="single" w:sz="8" w:space="0" w:color="auto"/>
              <w:left w:val="nil"/>
              <w:bottom w:val="single" w:sz="8" w:space="0" w:color="auto"/>
              <w:right w:val="single" w:sz="4" w:space="0" w:color="auto"/>
            </w:tcBorders>
            <w:shd w:val="clear" w:color="000000" w:fill="99CCFF"/>
            <w:noWrap/>
            <w:vAlign w:val="center"/>
            <w:hideMark/>
          </w:tcPr>
          <w:p w:rsidR="0044207F" w:rsidRDefault="0044207F">
            <w:pPr>
              <w:jc w:val="right"/>
              <w:rPr>
                <w:rFonts w:ascii="Arial" w:hAnsi="Arial" w:cs="Arial"/>
                <w:b/>
                <w:bCs/>
                <w:sz w:val="14"/>
                <w:szCs w:val="14"/>
              </w:rPr>
            </w:pPr>
            <w:r>
              <w:rPr>
                <w:rFonts w:ascii="Arial" w:hAnsi="Arial" w:cs="Arial"/>
                <w:b/>
                <w:bCs/>
                <w:sz w:val="14"/>
                <w:szCs w:val="14"/>
              </w:rPr>
              <w:t>22.091.499.682</w:t>
            </w:r>
          </w:p>
        </w:tc>
      </w:tr>
    </w:tbl>
    <w:p w:rsidR="008047D8" w:rsidRPr="000A0F07" w:rsidRDefault="008047D8" w:rsidP="008047D8">
      <w:pPr>
        <w:spacing w:after="200" w:line="276" w:lineRule="auto"/>
        <w:jc w:val="both"/>
        <w:rPr>
          <w:rFonts w:eastAsiaTheme="minorHAnsi"/>
          <w:lang w:eastAsia="en-US"/>
        </w:rPr>
      </w:pPr>
    </w:p>
    <w:sectPr w:rsidR="008047D8" w:rsidRPr="000A0F07" w:rsidSect="00172BAF">
      <w:footerReference w:type="default" r:id="rId12"/>
      <w:pgSz w:w="11906" w:h="16838"/>
      <w:pgMar w:top="1417" w:right="1417" w:bottom="1417" w:left="1417" w:header="708" w:footer="708" w:gutter="0"/>
      <w:pgNumType w:start="3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8F" w:rsidRDefault="00D24D8F" w:rsidP="00D24D8F">
      <w:r>
        <w:separator/>
      </w:r>
    </w:p>
  </w:endnote>
  <w:endnote w:type="continuationSeparator" w:id="0">
    <w:p w:rsidR="00D24D8F" w:rsidRDefault="00D24D8F" w:rsidP="00D2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2868"/>
      <w:docPartObj>
        <w:docPartGallery w:val="Page Numbers (Bottom of Page)"/>
        <w:docPartUnique/>
      </w:docPartObj>
    </w:sdtPr>
    <w:sdtEndPr/>
    <w:sdtContent>
      <w:p w:rsidR="00D24D8F" w:rsidRDefault="00D24D8F">
        <w:pPr>
          <w:pStyle w:val="Podnoje"/>
          <w:jc w:val="center"/>
        </w:pPr>
        <w:r>
          <w:fldChar w:fldCharType="begin"/>
        </w:r>
        <w:r>
          <w:instrText>PAGE   \* MERGEFORMAT</w:instrText>
        </w:r>
        <w:r>
          <w:fldChar w:fldCharType="separate"/>
        </w:r>
        <w:r w:rsidR="00172BAF">
          <w:rPr>
            <w:noProof/>
          </w:rPr>
          <w:t>399</w:t>
        </w:r>
        <w:r>
          <w:fldChar w:fldCharType="end"/>
        </w:r>
      </w:p>
    </w:sdtContent>
  </w:sdt>
  <w:p w:rsidR="00D24D8F" w:rsidRDefault="00D24D8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8F" w:rsidRDefault="00D24D8F" w:rsidP="00D24D8F">
      <w:r>
        <w:separator/>
      </w:r>
    </w:p>
  </w:footnote>
  <w:footnote w:type="continuationSeparator" w:id="0">
    <w:p w:rsidR="00D24D8F" w:rsidRDefault="00D24D8F" w:rsidP="00D24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D72"/>
    <w:multiLevelType w:val="hybridMultilevel"/>
    <w:tmpl w:val="49ACA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38182F63"/>
    <w:multiLevelType w:val="hybridMultilevel"/>
    <w:tmpl w:val="6644DD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C57CA9"/>
    <w:multiLevelType w:val="hybridMultilevel"/>
    <w:tmpl w:val="DA7EC8DA"/>
    <w:lvl w:ilvl="0" w:tplc="754696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E9C7C19"/>
    <w:multiLevelType w:val="hybridMultilevel"/>
    <w:tmpl w:val="E692F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0803CF9"/>
    <w:multiLevelType w:val="hybridMultilevel"/>
    <w:tmpl w:val="3FF63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1C974CB"/>
    <w:multiLevelType w:val="hybridMultilevel"/>
    <w:tmpl w:val="AC9E995C"/>
    <w:lvl w:ilvl="0" w:tplc="33D00AC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A9"/>
    <w:rsid w:val="000A0F07"/>
    <w:rsid w:val="000A4E75"/>
    <w:rsid w:val="000B0891"/>
    <w:rsid w:val="00161ECF"/>
    <w:rsid w:val="00172BAF"/>
    <w:rsid w:val="001C20CD"/>
    <w:rsid w:val="001D6CBB"/>
    <w:rsid w:val="001F1D13"/>
    <w:rsid w:val="00283E28"/>
    <w:rsid w:val="00284E2D"/>
    <w:rsid w:val="002C0D6C"/>
    <w:rsid w:val="002F6504"/>
    <w:rsid w:val="003146B4"/>
    <w:rsid w:val="00354D07"/>
    <w:rsid w:val="00371DED"/>
    <w:rsid w:val="003C1F07"/>
    <w:rsid w:val="003E5878"/>
    <w:rsid w:val="004058A0"/>
    <w:rsid w:val="0044207F"/>
    <w:rsid w:val="00471BA4"/>
    <w:rsid w:val="004F56AE"/>
    <w:rsid w:val="00530982"/>
    <w:rsid w:val="00540102"/>
    <w:rsid w:val="005D7A1D"/>
    <w:rsid w:val="005E70CF"/>
    <w:rsid w:val="00620A1C"/>
    <w:rsid w:val="00643487"/>
    <w:rsid w:val="00650098"/>
    <w:rsid w:val="006B580D"/>
    <w:rsid w:val="006C74CF"/>
    <w:rsid w:val="00735E75"/>
    <w:rsid w:val="007372D8"/>
    <w:rsid w:val="007616E6"/>
    <w:rsid w:val="00797093"/>
    <w:rsid w:val="008047D8"/>
    <w:rsid w:val="00841D91"/>
    <w:rsid w:val="00855349"/>
    <w:rsid w:val="008B772F"/>
    <w:rsid w:val="009118D2"/>
    <w:rsid w:val="00913142"/>
    <w:rsid w:val="00913BB5"/>
    <w:rsid w:val="009851C6"/>
    <w:rsid w:val="009B0A2C"/>
    <w:rsid w:val="009C5A67"/>
    <w:rsid w:val="00A1020F"/>
    <w:rsid w:val="00A33AE0"/>
    <w:rsid w:val="00A9047C"/>
    <w:rsid w:val="00AE06D4"/>
    <w:rsid w:val="00AE4668"/>
    <w:rsid w:val="00B36969"/>
    <w:rsid w:val="00B43AE5"/>
    <w:rsid w:val="00BA6D1C"/>
    <w:rsid w:val="00C075DE"/>
    <w:rsid w:val="00C11D2E"/>
    <w:rsid w:val="00C20F55"/>
    <w:rsid w:val="00C560E4"/>
    <w:rsid w:val="00C776E8"/>
    <w:rsid w:val="00C83AB5"/>
    <w:rsid w:val="00CA0C6D"/>
    <w:rsid w:val="00CB3034"/>
    <w:rsid w:val="00CC76B7"/>
    <w:rsid w:val="00D24D8F"/>
    <w:rsid w:val="00D47176"/>
    <w:rsid w:val="00D87630"/>
    <w:rsid w:val="00D96C08"/>
    <w:rsid w:val="00DE18A3"/>
    <w:rsid w:val="00E369A9"/>
    <w:rsid w:val="00E7271F"/>
    <w:rsid w:val="00E94121"/>
    <w:rsid w:val="00EA1BC2"/>
    <w:rsid w:val="00EC07D1"/>
    <w:rsid w:val="00EC2BBB"/>
    <w:rsid w:val="00F6775D"/>
    <w:rsid w:val="00FA43BB"/>
    <w:rsid w:val="00FC0425"/>
    <w:rsid w:val="00FE3E64"/>
    <w:rsid w:val="00FF5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3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4058A0"/>
    <w:pPr>
      <w:ind w:firstLine="1496"/>
      <w:jc w:val="both"/>
    </w:pPr>
  </w:style>
  <w:style w:type="character" w:customStyle="1" w:styleId="UvuenotijelotekstaChar">
    <w:name w:val="Uvučeno tijelo teksta Char"/>
    <w:basedOn w:val="Zadanifontodlomka"/>
    <w:link w:val="Uvuenotijeloteksta"/>
    <w:rsid w:val="004058A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7271F"/>
    <w:pPr>
      <w:ind w:left="720"/>
      <w:contextualSpacing/>
    </w:pPr>
  </w:style>
  <w:style w:type="paragraph" w:styleId="Tekstbalonia">
    <w:name w:val="Balloon Text"/>
    <w:basedOn w:val="Normal"/>
    <w:link w:val="TekstbaloniaChar"/>
    <w:uiPriority w:val="99"/>
    <w:semiHidden/>
    <w:unhideWhenUsed/>
    <w:rsid w:val="009851C6"/>
    <w:rPr>
      <w:rFonts w:ascii="Tahoma" w:hAnsi="Tahoma" w:cs="Tahoma"/>
      <w:sz w:val="16"/>
      <w:szCs w:val="16"/>
    </w:rPr>
  </w:style>
  <w:style w:type="character" w:customStyle="1" w:styleId="TekstbaloniaChar">
    <w:name w:val="Tekst balončića Char"/>
    <w:basedOn w:val="Zadanifontodlomka"/>
    <w:link w:val="Tekstbalonia"/>
    <w:uiPriority w:val="99"/>
    <w:semiHidden/>
    <w:rsid w:val="009851C6"/>
    <w:rPr>
      <w:rFonts w:ascii="Tahoma" w:eastAsia="Times New Roman" w:hAnsi="Tahoma" w:cs="Tahoma"/>
      <w:sz w:val="16"/>
      <w:szCs w:val="16"/>
      <w:lang w:eastAsia="hr-HR"/>
    </w:rPr>
  </w:style>
  <w:style w:type="paragraph" w:styleId="Opisslike">
    <w:name w:val="caption"/>
    <w:basedOn w:val="Normal"/>
    <w:next w:val="Normal"/>
    <w:uiPriority w:val="35"/>
    <w:unhideWhenUsed/>
    <w:qFormat/>
    <w:rsid w:val="003146B4"/>
    <w:pPr>
      <w:spacing w:after="200"/>
    </w:pPr>
    <w:rPr>
      <w:b/>
      <w:bCs/>
      <w:color w:val="4F81BD" w:themeColor="accent1"/>
      <w:sz w:val="18"/>
      <w:szCs w:val="18"/>
    </w:rPr>
  </w:style>
  <w:style w:type="paragraph" w:styleId="Zaglavlje">
    <w:name w:val="header"/>
    <w:basedOn w:val="Normal"/>
    <w:link w:val="ZaglavljeChar"/>
    <w:uiPriority w:val="99"/>
    <w:unhideWhenUsed/>
    <w:rsid w:val="00D24D8F"/>
    <w:pPr>
      <w:tabs>
        <w:tab w:val="center" w:pos="4536"/>
        <w:tab w:val="right" w:pos="9072"/>
      </w:tabs>
    </w:pPr>
  </w:style>
  <w:style w:type="character" w:customStyle="1" w:styleId="ZaglavljeChar">
    <w:name w:val="Zaglavlje Char"/>
    <w:basedOn w:val="Zadanifontodlomka"/>
    <w:link w:val="Zaglavlje"/>
    <w:uiPriority w:val="99"/>
    <w:rsid w:val="00D24D8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24D8F"/>
    <w:pPr>
      <w:tabs>
        <w:tab w:val="center" w:pos="4536"/>
        <w:tab w:val="right" w:pos="9072"/>
      </w:tabs>
    </w:pPr>
  </w:style>
  <w:style w:type="character" w:customStyle="1" w:styleId="PodnojeChar">
    <w:name w:val="Podnožje Char"/>
    <w:basedOn w:val="Zadanifontodlomka"/>
    <w:link w:val="Podnoje"/>
    <w:uiPriority w:val="99"/>
    <w:rsid w:val="00D24D8F"/>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3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4058A0"/>
    <w:pPr>
      <w:ind w:firstLine="1496"/>
      <w:jc w:val="both"/>
    </w:pPr>
  </w:style>
  <w:style w:type="character" w:customStyle="1" w:styleId="UvuenotijelotekstaChar">
    <w:name w:val="Uvučeno tijelo teksta Char"/>
    <w:basedOn w:val="Zadanifontodlomka"/>
    <w:link w:val="Uvuenotijeloteksta"/>
    <w:rsid w:val="004058A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7271F"/>
    <w:pPr>
      <w:ind w:left="720"/>
      <w:contextualSpacing/>
    </w:pPr>
  </w:style>
  <w:style w:type="paragraph" w:styleId="Tekstbalonia">
    <w:name w:val="Balloon Text"/>
    <w:basedOn w:val="Normal"/>
    <w:link w:val="TekstbaloniaChar"/>
    <w:uiPriority w:val="99"/>
    <w:semiHidden/>
    <w:unhideWhenUsed/>
    <w:rsid w:val="009851C6"/>
    <w:rPr>
      <w:rFonts w:ascii="Tahoma" w:hAnsi="Tahoma" w:cs="Tahoma"/>
      <w:sz w:val="16"/>
      <w:szCs w:val="16"/>
    </w:rPr>
  </w:style>
  <w:style w:type="character" w:customStyle="1" w:styleId="TekstbaloniaChar">
    <w:name w:val="Tekst balončića Char"/>
    <w:basedOn w:val="Zadanifontodlomka"/>
    <w:link w:val="Tekstbalonia"/>
    <w:uiPriority w:val="99"/>
    <w:semiHidden/>
    <w:rsid w:val="009851C6"/>
    <w:rPr>
      <w:rFonts w:ascii="Tahoma" w:eastAsia="Times New Roman" w:hAnsi="Tahoma" w:cs="Tahoma"/>
      <w:sz w:val="16"/>
      <w:szCs w:val="16"/>
      <w:lang w:eastAsia="hr-HR"/>
    </w:rPr>
  </w:style>
  <w:style w:type="paragraph" w:styleId="Opisslike">
    <w:name w:val="caption"/>
    <w:basedOn w:val="Normal"/>
    <w:next w:val="Normal"/>
    <w:uiPriority w:val="35"/>
    <w:unhideWhenUsed/>
    <w:qFormat/>
    <w:rsid w:val="003146B4"/>
    <w:pPr>
      <w:spacing w:after="200"/>
    </w:pPr>
    <w:rPr>
      <w:b/>
      <w:bCs/>
      <w:color w:val="4F81BD" w:themeColor="accent1"/>
      <w:sz w:val="18"/>
      <w:szCs w:val="18"/>
    </w:rPr>
  </w:style>
  <w:style w:type="paragraph" w:styleId="Zaglavlje">
    <w:name w:val="header"/>
    <w:basedOn w:val="Normal"/>
    <w:link w:val="ZaglavljeChar"/>
    <w:uiPriority w:val="99"/>
    <w:unhideWhenUsed/>
    <w:rsid w:val="00D24D8F"/>
    <w:pPr>
      <w:tabs>
        <w:tab w:val="center" w:pos="4536"/>
        <w:tab w:val="right" w:pos="9072"/>
      </w:tabs>
    </w:pPr>
  </w:style>
  <w:style w:type="character" w:customStyle="1" w:styleId="ZaglavljeChar">
    <w:name w:val="Zaglavlje Char"/>
    <w:basedOn w:val="Zadanifontodlomka"/>
    <w:link w:val="Zaglavlje"/>
    <w:uiPriority w:val="99"/>
    <w:rsid w:val="00D24D8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24D8F"/>
    <w:pPr>
      <w:tabs>
        <w:tab w:val="center" w:pos="4536"/>
        <w:tab w:val="right" w:pos="9072"/>
      </w:tabs>
    </w:pPr>
  </w:style>
  <w:style w:type="character" w:customStyle="1" w:styleId="PodnojeChar">
    <w:name w:val="Podnožje Char"/>
    <w:basedOn w:val="Zadanifontodlomka"/>
    <w:link w:val="Podnoje"/>
    <w:uiPriority w:val="99"/>
    <w:rsid w:val="00D24D8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0994">
      <w:bodyDiv w:val="1"/>
      <w:marLeft w:val="0"/>
      <w:marRight w:val="0"/>
      <w:marTop w:val="0"/>
      <w:marBottom w:val="0"/>
      <w:divBdr>
        <w:top w:val="none" w:sz="0" w:space="0" w:color="auto"/>
        <w:left w:val="none" w:sz="0" w:space="0" w:color="auto"/>
        <w:bottom w:val="none" w:sz="0" w:space="0" w:color="auto"/>
        <w:right w:val="none" w:sz="0" w:space="0" w:color="auto"/>
      </w:divBdr>
    </w:div>
    <w:div w:id="65693006">
      <w:bodyDiv w:val="1"/>
      <w:marLeft w:val="0"/>
      <w:marRight w:val="0"/>
      <w:marTop w:val="0"/>
      <w:marBottom w:val="0"/>
      <w:divBdr>
        <w:top w:val="none" w:sz="0" w:space="0" w:color="auto"/>
        <w:left w:val="none" w:sz="0" w:space="0" w:color="auto"/>
        <w:bottom w:val="none" w:sz="0" w:space="0" w:color="auto"/>
        <w:right w:val="none" w:sz="0" w:space="0" w:color="auto"/>
      </w:divBdr>
    </w:div>
    <w:div w:id="194975360">
      <w:bodyDiv w:val="1"/>
      <w:marLeft w:val="0"/>
      <w:marRight w:val="0"/>
      <w:marTop w:val="0"/>
      <w:marBottom w:val="0"/>
      <w:divBdr>
        <w:top w:val="none" w:sz="0" w:space="0" w:color="auto"/>
        <w:left w:val="none" w:sz="0" w:space="0" w:color="auto"/>
        <w:bottom w:val="none" w:sz="0" w:space="0" w:color="auto"/>
        <w:right w:val="none" w:sz="0" w:space="0" w:color="auto"/>
      </w:divBdr>
    </w:div>
    <w:div w:id="423382575">
      <w:bodyDiv w:val="1"/>
      <w:marLeft w:val="0"/>
      <w:marRight w:val="0"/>
      <w:marTop w:val="0"/>
      <w:marBottom w:val="0"/>
      <w:divBdr>
        <w:top w:val="none" w:sz="0" w:space="0" w:color="auto"/>
        <w:left w:val="none" w:sz="0" w:space="0" w:color="auto"/>
        <w:bottom w:val="none" w:sz="0" w:space="0" w:color="auto"/>
        <w:right w:val="none" w:sz="0" w:space="0" w:color="auto"/>
      </w:divBdr>
    </w:div>
    <w:div w:id="578293594">
      <w:bodyDiv w:val="1"/>
      <w:marLeft w:val="0"/>
      <w:marRight w:val="0"/>
      <w:marTop w:val="0"/>
      <w:marBottom w:val="0"/>
      <w:divBdr>
        <w:top w:val="none" w:sz="0" w:space="0" w:color="auto"/>
        <w:left w:val="none" w:sz="0" w:space="0" w:color="auto"/>
        <w:bottom w:val="none" w:sz="0" w:space="0" w:color="auto"/>
        <w:right w:val="none" w:sz="0" w:space="0" w:color="auto"/>
      </w:divBdr>
    </w:div>
    <w:div w:id="635649849">
      <w:bodyDiv w:val="1"/>
      <w:marLeft w:val="0"/>
      <w:marRight w:val="0"/>
      <w:marTop w:val="0"/>
      <w:marBottom w:val="0"/>
      <w:divBdr>
        <w:top w:val="none" w:sz="0" w:space="0" w:color="auto"/>
        <w:left w:val="none" w:sz="0" w:space="0" w:color="auto"/>
        <w:bottom w:val="none" w:sz="0" w:space="0" w:color="auto"/>
        <w:right w:val="none" w:sz="0" w:space="0" w:color="auto"/>
      </w:divBdr>
    </w:div>
    <w:div w:id="860970539">
      <w:bodyDiv w:val="1"/>
      <w:marLeft w:val="0"/>
      <w:marRight w:val="0"/>
      <w:marTop w:val="0"/>
      <w:marBottom w:val="0"/>
      <w:divBdr>
        <w:top w:val="none" w:sz="0" w:space="0" w:color="auto"/>
        <w:left w:val="none" w:sz="0" w:space="0" w:color="auto"/>
        <w:bottom w:val="none" w:sz="0" w:space="0" w:color="auto"/>
        <w:right w:val="none" w:sz="0" w:space="0" w:color="auto"/>
      </w:divBdr>
    </w:div>
    <w:div w:id="861286339">
      <w:bodyDiv w:val="1"/>
      <w:marLeft w:val="0"/>
      <w:marRight w:val="0"/>
      <w:marTop w:val="0"/>
      <w:marBottom w:val="0"/>
      <w:divBdr>
        <w:top w:val="none" w:sz="0" w:space="0" w:color="auto"/>
        <w:left w:val="none" w:sz="0" w:space="0" w:color="auto"/>
        <w:bottom w:val="none" w:sz="0" w:space="0" w:color="auto"/>
        <w:right w:val="none" w:sz="0" w:space="0" w:color="auto"/>
      </w:divBdr>
    </w:div>
    <w:div w:id="1047752996">
      <w:bodyDiv w:val="1"/>
      <w:marLeft w:val="0"/>
      <w:marRight w:val="0"/>
      <w:marTop w:val="0"/>
      <w:marBottom w:val="0"/>
      <w:divBdr>
        <w:top w:val="none" w:sz="0" w:space="0" w:color="auto"/>
        <w:left w:val="none" w:sz="0" w:space="0" w:color="auto"/>
        <w:bottom w:val="none" w:sz="0" w:space="0" w:color="auto"/>
        <w:right w:val="none" w:sz="0" w:space="0" w:color="auto"/>
      </w:divBdr>
    </w:div>
    <w:div w:id="1176310618">
      <w:bodyDiv w:val="1"/>
      <w:marLeft w:val="0"/>
      <w:marRight w:val="0"/>
      <w:marTop w:val="0"/>
      <w:marBottom w:val="0"/>
      <w:divBdr>
        <w:top w:val="none" w:sz="0" w:space="0" w:color="auto"/>
        <w:left w:val="none" w:sz="0" w:space="0" w:color="auto"/>
        <w:bottom w:val="none" w:sz="0" w:space="0" w:color="auto"/>
        <w:right w:val="none" w:sz="0" w:space="0" w:color="auto"/>
      </w:divBdr>
    </w:div>
    <w:div w:id="1313826402">
      <w:bodyDiv w:val="1"/>
      <w:marLeft w:val="0"/>
      <w:marRight w:val="0"/>
      <w:marTop w:val="0"/>
      <w:marBottom w:val="0"/>
      <w:divBdr>
        <w:top w:val="none" w:sz="0" w:space="0" w:color="auto"/>
        <w:left w:val="none" w:sz="0" w:space="0" w:color="auto"/>
        <w:bottom w:val="none" w:sz="0" w:space="0" w:color="auto"/>
        <w:right w:val="none" w:sz="0" w:space="0" w:color="auto"/>
      </w:divBdr>
    </w:div>
    <w:div w:id="1364818129">
      <w:bodyDiv w:val="1"/>
      <w:marLeft w:val="0"/>
      <w:marRight w:val="0"/>
      <w:marTop w:val="0"/>
      <w:marBottom w:val="0"/>
      <w:divBdr>
        <w:top w:val="none" w:sz="0" w:space="0" w:color="auto"/>
        <w:left w:val="none" w:sz="0" w:space="0" w:color="auto"/>
        <w:bottom w:val="none" w:sz="0" w:space="0" w:color="auto"/>
        <w:right w:val="none" w:sz="0" w:space="0" w:color="auto"/>
      </w:divBdr>
    </w:div>
    <w:div w:id="1815216444">
      <w:bodyDiv w:val="1"/>
      <w:marLeft w:val="0"/>
      <w:marRight w:val="0"/>
      <w:marTop w:val="0"/>
      <w:marBottom w:val="0"/>
      <w:divBdr>
        <w:top w:val="none" w:sz="0" w:space="0" w:color="auto"/>
        <w:left w:val="none" w:sz="0" w:space="0" w:color="auto"/>
        <w:bottom w:val="none" w:sz="0" w:space="0" w:color="auto"/>
        <w:right w:val="none" w:sz="0" w:space="0" w:color="auto"/>
      </w:divBdr>
    </w:div>
    <w:div w:id="1818299763">
      <w:bodyDiv w:val="1"/>
      <w:marLeft w:val="0"/>
      <w:marRight w:val="0"/>
      <w:marTop w:val="0"/>
      <w:marBottom w:val="0"/>
      <w:divBdr>
        <w:top w:val="none" w:sz="0" w:space="0" w:color="auto"/>
        <w:left w:val="none" w:sz="0" w:space="0" w:color="auto"/>
        <w:bottom w:val="none" w:sz="0" w:space="0" w:color="auto"/>
        <w:right w:val="none" w:sz="0" w:space="0" w:color="auto"/>
      </w:divBdr>
    </w:div>
    <w:div w:id="18893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3092</Words>
  <Characters>17629</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5</cp:revision>
  <dcterms:created xsi:type="dcterms:W3CDTF">2018-04-26T10:21:00Z</dcterms:created>
  <dcterms:modified xsi:type="dcterms:W3CDTF">2018-04-30T11:44:00Z</dcterms:modified>
</cp:coreProperties>
</file>