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DA" w:rsidRDefault="009243DA" w:rsidP="009243DA">
      <w:pPr>
        <w:pStyle w:val="Naslov3"/>
        <w:tabs>
          <w:tab w:val="left" w:pos="6120"/>
        </w:tabs>
        <w:rPr>
          <w:rFonts w:ascii="Times New Roman" w:hAnsi="Times New Roman" w:cs="Times New Roman"/>
          <w:sz w:val="28"/>
          <w:szCs w:val="28"/>
        </w:rPr>
      </w:pPr>
      <w:r>
        <w:rPr>
          <w:rFonts w:ascii="Times New Roman" w:hAnsi="Times New Roman" w:cs="Times New Roman"/>
          <w:sz w:val="28"/>
          <w:szCs w:val="28"/>
        </w:rPr>
        <w:t>RASHODI DRŽAVNOG PRORAČUNA</w:t>
      </w:r>
    </w:p>
    <w:p w:rsidR="009243DA" w:rsidRDefault="009243DA" w:rsidP="009243DA"/>
    <w:p w:rsidR="009243DA" w:rsidRPr="00AD30D0" w:rsidRDefault="009243DA" w:rsidP="009243DA">
      <w:r w:rsidRPr="00AD30D0">
        <w:t>Ukupni rashodi za 2015. godinu planirani su u iznosu od 119,0 milijardi kuna, od čega rashodi poslovanja u iznosu od 115,7 milijardi kuna i rashodi za nabavu nefinancijske imovine u iznosu od 3,</w:t>
      </w:r>
      <w:proofErr w:type="spellStart"/>
      <w:r w:rsidRPr="00AD30D0">
        <w:t>3</w:t>
      </w:r>
      <w:proofErr w:type="spellEnd"/>
      <w:r w:rsidRPr="00AD30D0">
        <w:t xml:space="preserve"> milijarde kuna.</w:t>
      </w:r>
    </w:p>
    <w:p w:rsidR="009243DA" w:rsidRPr="00AD30D0" w:rsidRDefault="009243DA" w:rsidP="009243DA"/>
    <w:p w:rsidR="009243DA" w:rsidRPr="00AD30D0" w:rsidRDefault="009243DA" w:rsidP="009243DA">
      <w:pPr>
        <w:rPr>
          <w:color w:val="000000"/>
        </w:rPr>
      </w:pPr>
      <w:r w:rsidRPr="00AD30D0">
        <w:t>Izvršenje ukupnih rashoda državnog proračuna u prvih šest mjeseci 2015. godine iznosi 58,4 milijarde kuna što je 49,1% planiranih rashoda za 2015. godinu. U odnosu na isto razdoblje 2014. godine došlo je do smanjenja ukupnih rashoda u iznosu od 5,</w:t>
      </w:r>
      <w:proofErr w:type="spellStart"/>
      <w:r w:rsidRPr="00AD30D0">
        <w:t>5</w:t>
      </w:r>
      <w:proofErr w:type="spellEnd"/>
      <w:r w:rsidRPr="00AD30D0">
        <w:t xml:space="preserve"> milijardi kuna</w:t>
      </w:r>
      <w:r w:rsidRPr="00AD30D0">
        <w:rPr>
          <w:color w:val="FF0000"/>
        </w:rPr>
        <w:t xml:space="preserve"> </w:t>
      </w:r>
      <w:r w:rsidRPr="00AD30D0">
        <w:rPr>
          <w:color w:val="000000"/>
        </w:rPr>
        <w:t>ili 8,5% između ostaloga i zbog izdvajanja Hrvatskog zavoda za zdravstveno osiguranje iz sustava državne riznice i državnog proračuna. S druge strane, na visinu rashoda Državnog proračuna Republike Hrvatske za 2015. godinu značajno utječe puna primjena odredbi Zakona o proračunu (Narodne novine, br. 87/08, 136/12 i 15/</w:t>
      </w:r>
      <w:proofErr w:type="spellStart"/>
      <w:r w:rsidRPr="00AD30D0">
        <w:rPr>
          <w:color w:val="000000"/>
        </w:rPr>
        <w:t>15</w:t>
      </w:r>
      <w:proofErr w:type="spellEnd"/>
      <w:r w:rsidRPr="00AD30D0">
        <w:rPr>
          <w:color w:val="000000"/>
        </w:rPr>
        <w:t>) temeljem kojih su po prvi puta vlastiti i namjenski prihodi i primici te rashodi i izdaci financirani vlastitim i namjenskim prihodima državnih ustanova u zdravstvu, sveučilišta, fakulteta, veleučilišta, javnih instituta, ustanova u kulturi nacionalnih parkova i parkova prirode iskazani u državnom proračunu.</w:t>
      </w:r>
    </w:p>
    <w:p w:rsidR="009243DA" w:rsidRDefault="009243DA" w:rsidP="009243DA">
      <w:pPr>
        <w:pStyle w:val="Naslov3"/>
        <w:rPr>
          <w:rFonts w:ascii="Times New Roman" w:hAnsi="Times New Roman" w:cs="Times New Roman"/>
          <w:b w:val="0"/>
          <w:bCs w:val="0"/>
          <w:color w:val="000000"/>
          <w:sz w:val="24"/>
          <w:szCs w:val="24"/>
        </w:rPr>
      </w:pPr>
      <w:r w:rsidRPr="00AD30D0">
        <w:rPr>
          <w:rFonts w:ascii="Times New Roman" w:hAnsi="Times New Roman" w:cs="Times New Roman"/>
          <w:b w:val="0"/>
          <w:bCs w:val="0"/>
          <w:color w:val="000000"/>
          <w:sz w:val="24"/>
          <w:szCs w:val="24"/>
        </w:rPr>
        <w:t>Naime, iako Zakon o izvršavanju Državnog proračuna Republike Hrvatske za 2015. godinu (Narodne novine br. 148/14, u daljnjem tekstu Zakon) i nadalje predviđa izuzeće od uplate vlastitih i namjenskih prihoda i primitaka u državni proračun za proračunske korisnike u znanosti, visokom obrazovanju, pravosuđu, sustavu izvršenja sankcija, kao i za kulturne ustanove, nacionalne parkove, parkove prirode, zdravstvene ustanove, Državni zavod za zaštitu prirode</w:t>
      </w:r>
      <w:r w:rsidRPr="00AD30D0">
        <w:t xml:space="preserve"> </w:t>
      </w:r>
      <w:r w:rsidRPr="00AD30D0">
        <w:rPr>
          <w:rFonts w:ascii="Times New Roman" w:hAnsi="Times New Roman" w:cs="Times New Roman"/>
          <w:b w:val="0"/>
          <w:bCs w:val="0"/>
          <w:color w:val="000000"/>
          <w:sz w:val="24"/>
          <w:szCs w:val="24"/>
        </w:rPr>
        <w:t>i Hrvatski hidrografski institut, iz odredbi Zakona o proračunu nedvojbeno proizlazi obveza iskazivanja ukupnih prihoda i primitaka te rashoda i izdataka iz svih izvora financiranja u državnom proračunu za sve proračunske korisnike državnog proračuna. Sukladno navedenom, u Državnom proračunu Republike Hrvatske za 2015. godinu ostvarivanje vlastitih i namjenskih prihoda i primitaka te trošenje rashoda financiranih iz ovih izvora, a izuzetih od uplate u državni proračun, izvještajno su evidentirani u informacijskom sustavu državne riznice.</w:t>
      </w:r>
    </w:p>
    <w:p w:rsidR="009243DA" w:rsidRDefault="009243DA" w:rsidP="009243DA"/>
    <w:p w:rsidR="009243DA" w:rsidRPr="00821E37" w:rsidRDefault="009243DA" w:rsidP="009243DA">
      <w:pPr>
        <w:rPr>
          <w:b/>
          <w:bCs/>
        </w:rPr>
      </w:pPr>
      <w:r>
        <w:rPr>
          <w:b/>
          <w:bCs/>
        </w:rPr>
        <w:t>Tablica 7.</w:t>
      </w:r>
      <w:r w:rsidRPr="00821E37">
        <w:rPr>
          <w:b/>
          <w:bCs/>
        </w:rPr>
        <w:t xml:space="preserve"> Kretanje rashoda u 2014. i 2015. godini</w:t>
      </w:r>
    </w:p>
    <w:p w:rsidR="009243DA" w:rsidRPr="00BD5831" w:rsidRDefault="009243DA" w:rsidP="009243DA">
      <w:pPr>
        <w:rPr>
          <w:color w:val="FF0000"/>
        </w:rPr>
      </w:pPr>
      <w:r>
        <w:rPr>
          <w:noProof/>
          <w:color w:val="FF0000"/>
        </w:rPr>
        <w:drawing>
          <wp:inline distT="0" distB="0" distL="0" distR="0">
            <wp:extent cx="5762625" cy="84772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847725"/>
                    </a:xfrm>
                    <a:prstGeom prst="rect">
                      <a:avLst/>
                    </a:prstGeom>
                    <a:noFill/>
                    <a:ln>
                      <a:noFill/>
                    </a:ln>
                  </pic:spPr>
                </pic:pic>
              </a:graphicData>
            </a:graphic>
          </wp:inline>
        </w:drawing>
      </w:r>
    </w:p>
    <w:p w:rsidR="009243DA" w:rsidRPr="00BD5831" w:rsidRDefault="009243DA" w:rsidP="009243DA">
      <w:pPr>
        <w:rPr>
          <w:color w:val="FF0000"/>
        </w:rPr>
      </w:pPr>
    </w:p>
    <w:p w:rsidR="009243DA" w:rsidRPr="00531D61" w:rsidRDefault="009243DA" w:rsidP="009243DA">
      <w:pPr>
        <w:pStyle w:val="Naslov3"/>
        <w:rPr>
          <w:rFonts w:ascii="Times New Roman" w:hAnsi="Times New Roman" w:cs="Times New Roman"/>
          <w:color w:val="FF0000"/>
          <w:sz w:val="24"/>
          <w:szCs w:val="24"/>
        </w:rPr>
      </w:pPr>
      <w:r>
        <w:rPr>
          <w:rFonts w:ascii="Times New Roman" w:hAnsi="Times New Roman" w:cs="Times New Roman"/>
          <w:sz w:val="24"/>
          <w:szCs w:val="24"/>
        </w:rPr>
        <w:t xml:space="preserve">1. Obrazloženje rashoda po ekonomskoj klasifikaciji </w:t>
      </w:r>
    </w:p>
    <w:p w:rsidR="009243DA" w:rsidRDefault="009243DA" w:rsidP="009243DA">
      <w:pPr>
        <w:pStyle w:val="Naslov3"/>
        <w:rPr>
          <w:rFonts w:ascii="Times New Roman" w:hAnsi="Times New Roman" w:cs="Times New Roman"/>
          <w:sz w:val="24"/>
          <w:szCs w:val="24"/>
          <w:u w:val="single"/>
        </w:rPr>
      </w:pPr>
      <w:r>
        <w:rPr>
          <w:rFonts w:ascii="Times New Roman" w:hAnsi="Times New Roman" w:cs="Times New Roman"/>
          <w:sz w:val="24"/>
          <w:szCs w:val="24"/>
          <w:u w:val="single"/>
        </w:rPr>
        <w:t>Rashodi poslovanja</w:t>
      </w:r>
    </w:p>
    <w:p w:rsidR="009243DA" w:rsidRDefault="009243DA" w:rsidP="009243DA"/>
    <w:p w:rsidR="009243DA" w:rsidRPr="005F6931" w:rsidRDefault="009243DA" w:rsidP="009243DA">
      <w:pPr>
        <w:rPr>
          <w:color w:val="FF0000"/>
        </w:rPr>
      </w:pPr>
      <w:r w:rsidRPr="00AD30D0">
        <w:t>Rashodi poslovanja u razdoblju od 1. siječnja do 30. lipnja 2015. godine izvršeni su u iznosu od 57,5 milijardi kuna, od čega su rashodi poslovanja financirani vlastitim i namjenskim prihodima proračunskih korisnika koji su Zakonom izuzeti od uplate u državni proračun izvještajno evidentirani u iznosu 3,2 milijarde kuna.</w:t>
      </w:r>
    </w:p>
    <w:p w:rsidR="009243DA" w:rsidRDefault="009243DA" w:rsidP="009243DA">
      <w:pPr>
        <w:tabs>
          <w:tab w:val="left" w:pos="540"/>
        </w:tabs>
      </w:pPr>
    </w:p>
    <w:p w:rsidR="009243DA" w:rsidRDefault="009243DA" w:rsidP="009243DA">
      <w:r w:rsidRPr="00AD30D0">
        <w:lastRenderedPageBreak/>
        <w:t>U strukturi ostvarenih rashoda poslovanja za promatrano razdoblje najveći udio od 39,4% čine naknade građanima i kućanstvima na temelju osiguranja i druge naknade, a slijede rashodi za zaposlene s udjelom od 21,2%.</w:t>
      </w:r>
    </w:p>
    <w:p w:rsidR="009243DA" w:rsidRPr="00DC45EE" w:rsidRDefault="009243DA" w:rsidP="009243DA"/>
    <w:p w:rsidR="009243DA" w:rsidRPr="00821E37" w:rsidRDefault="009243DA" w:rsidP="009243DA">
      <w:pPr>
        <w:rPr>
          <w:b/>
          <w:bCs/>
        </w:rPr>
      </w:pPr>
      <w:r>
        <w:rPr>
          <w:b/>
          <w:bCs/>
        </w:rPr>
        <w:t>Tablica 8.</w:t>
      </w:r>
      <w:r w:rsidRPr="00821E37">
        <w:rPr>
          <w:b/>
          <w:bCs/>
        </w:rPr>
        <w:t xml:space="preserve"> Kretanje rashoda poslovanja u 2014. i 2015. godini </w:t>
      </w:r>
    </w:p>
    <w:p w:rsidR="009243DA" w:rsidRPr="00BD5831" w:rsidRDefault="009243DA" w:rsidP="009243DA">
      <w:pPr>
        <w:rPr>
          <w:color w:val="FF0000"/>
        </w:rPr>
      </w:pPr>
      <w:r>
        <w:rPr>
          <w:noProof/>
          <w:color w:val="FF0000"/>
        </w:rPr>
        <w:drawing>
          <wp:inline distT="0" distB="0" distL="0" distR="0">
            <wp:extent cx="5762625" cy="18097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809750"/>
                    </a:xfrm>
                    <a:prstGeom prst="rect">
                      <a:avLst/>
                    </a:prstGeom>
                    <a:noFill/>
                    <a:ln>
                      <a:noFill/>
                    </a:ln>
                  </pic:spPr>
                </pic:pic>
              </a:graphicData>
            </a:graphic>
          </wp:inline>
        </w:drawing>
      </w:r>
    </w:p>
    <w:p w:rsidR="009243DA" w:rsidRPr="00BD5831" w:rsidRDefault="009243DA" w:rsidP="009243DA">
      <w:pPr>
        <w:rPr>
          <w:color w:val="FF0000"/>
        </w:rPr>
      </w:pPr>
    </w:p>
    <w:p w:rsidR="009243DA" w:rsidRDefault="009243DA" w:rsidP="009243DA">
      <w:r w:rsidRPr="009B7F2E">
        <w:t xml:space="preserve">Budući da je u 2014. godini Hrvatski zavod za zdravstveno osiguranje </w:t>
      </w:r>
      <w:r>
        <w:t xml:space="preserve">(HZZO) </w:t>
      </w:r>
      <w:r w:rsidRPr="009B7F2E">
        <w:t>sa svim svojim prihodima i rashodima bio dio državnog proračuna</w:t>
      </w:r>
      <w:r>
        <w:t>,</w:t>
      </w:r>
      <w:r w:rsidRPr="009B7F2E">
        <w:t xml:space="preserve"> a u 2015. godini se izdvaja, te da za razliku od 2015. godine, u 2014. vlastiti i namjenski prihodi i primici</w:t>
      </w:r>
      <w:r>
        <w:t xml:space="preserve"> </w:t>
      </w:r>
      <w:r w:rsidRPr="0077652B">
        <w:t>proračunski</w:t>
      </w:r>
      <w:r>
        <w:t xml:space="preserve">h korisnika </w:t>
      </w:r>
      <w:r w:rsidRPr="0077652B">
        <w:t>u znanosti, visokom obrazovanju, pravosuđu, sustavu izvršenja sankcija, socijalnoj skrbi kao i ustanove u kulturi, nacionalni parkovi, parkovi prirod</w:t>
      </w:r>
      <w:r>
        <w:t>e, zdravstvene ustanove, Državnog</w:t>
      </w:r>
      <w:r w:rsidRPr="0077652B">
        <w:t xml:space="preserve"> zavod</w:t>
      </w:r>
      <w:r>
        <w:t>a</w:t>
      </w:r>
      <w:r w:rsidRPr="0077652B">
        <w:t xml:space="preserve"> za zaštitu prirode i Hrvatsk</w:t>
      </w:r>
      <w:r>
        <w:t>og</w:t>
      </w:r>
      <w:r w:rsidRPr="0077652B">
        <w:t xml:space="preserve"> hidrografsk</w:t>
      </w:r>
      <w:r>
        <w:t>og</w:t>
      </w:r>
      <w:r w:rsidRPr="0077652B">
        <w:t xml:space="preserve"> institut</w:t>
      </w:r>
      <w:r>
        <w:t>a nisu bili iskazani u proračunu, usporedba izvršenja prvog polugodišta 2014. i 2015. je otežana. Stoga se tablicom u nastavku daje prikaz izvršenja rashoda prvog polugodišta 2014. i 2015.</w:t>
      </w:r>
      <w:r w:rsidRPr="00304DA3">
        <w:t xml:space="preserve"> s isključenim promjenama u državnom proračunu</w:t>
      </w:r>
      <w:r>
        <w:t>.</w:t>
      </w:r>
    </w:p>
    <w:p w:rsidR="009243DA" w:rsidRDefault="009243DA" w:rsidP="009243DA">
      <w:r>
        <w:t>U</w:t>
      </w:r>
      <w:r w:rsidRPr="0077652B">
        <w:t xml:space="preserve"> stupcu Ostvarenje I-VI 2014. isključeno je izvršenje rashoda HZZO-a </w:t>
      </w:r>
      <w:r>
        <w:t>(</w:t>
      </w:r>
      <w:r w:rsidRPr="0077652B">
        <w:t>za sve skupine rashoda</w:t>
      </w:r>
      <w:r>
        <w:t>), a u</w:t>
      </w:r>
      <w:r w:rsidRPr="0077652B">
        <w:t xml:space="preserve"> stupcu Ostvarenje I-VI 2015. isključeno je izvršenje rashoda</w:t>
      </w:r>
      <w:r>
        <w:t xml:space="preserve"> financiranih iz vlastitih i namjenskih prihoda i primitaka</w:t>
      </w:r>
      <w:r w:rsidRPr="0077652B">
        <w:t xml:space="preserve"> </w:t>
      </w:r>
      <w:r>
        <w:t xml:space="preserve">gore navedenih proračunskih korisnika.  Također u stupcu </w:t>
      </w:r>
      <w:r w:rsidRPr="0077652B">
        <w:t xml:space="preserve">Ostvarenje I-VI 2015. </w:t>
      </w:r>
      <w:r>
        <w:t>na</w:t>
      </w:r>
      <w:r w:rsidRPr="0077652B">
        <w:t xml:space="preserve"> skupini rashoda 36 Pomoći isključeni su transferi proračunskih sredstava HZZO-u doznačeni u razdoblju siječanj – lipanj 2015. u iznosu od 1,2 milijarde kuna.</w:t>
      </w:r>
    </w:p>
    <w:p w:rsidR="009243DA" w:rsidRDefault="009243DA" w:rsidP="009243DA"/>
    <w:p w:rsidR="009243DA" w:rsidRDefault="009243DA" w:rsidP="009243DA">
      <w:r>
        <w:rPr>
          <w:b/>
          <w:bCs/>
        </w:rPr>
        <w:t>Tablica 9.</w:t>
      </w:r>
      <w:r w:rsidRPr="00821E37">
        <w:rPr>
          <w:b/>
          <w:bCs/>
        </w:rPr>
        <w:t xml:space="preserve"> Kretanje rashoda poslovanja u 2014. i 2015. godini s isključenim promjenama</w:t>
      </w:r>
      <w:r>
        <w:rPr>
          <w:noProof/>
        </w:rPr>
        <w:drawing>
          <wp:inline distT="0" distB="0" distL="0" distR="0">
            <wp:extent cx="5762625" cy="18383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838325"/>
                    </a:xfrm>
                    <a:prstGeom prst="rect">
                      <a:avLst/>
                    </a:prstGeom>
                    <a:noFill/>
                    <a:ln>
                      <a:noFill/>
                    </a:ln>
                  </pic:spPr>
                </pic:pic>
              </a:graphicData>
            </a:graphic>
          </wp:inline>
        </w:drawing>
      </w:r>
    </w:p>
    <w:p w:rsidR="009243DA" w:rsidRDefault="009243DA" w:rsidP="009243DA"/>
    <w:p w:rsidR="009243DA" w:rsidRDefault="009243DA" w:rsidP="009243DA">
      <w:r w:rsidRPr="00AD30D0">
        <w:t>Uzimajući u obzir promjene u državnom proračunu (Tablica 9), rashodi poslovanja u razdoblju od 1. siječnja do 30. lipnja 2015. u odnosu na isto razdoblje prošle godine povećani su za 870,2 milijuna kuna odnosno za 1,7% i to prvenstveno radi povećanja financijskih rashoda i rashoda za subvencije.</w:t>
      </w:r>
    </w:p>
    <w:p w:rsidR="009243DA" w:rsidRDefault="009243DA" w:rsidP="009243DA"/>
    <w:p w:rsidR="009243DA" w:rsidRDefault="009243DA" w:rsidP="009243DA"/>
    <w:p w:rsidR="009243DA" w:rsidRDefault="009243DA" w:rsidP="009243DA"/>
    <w:p w:rsidR="009243DA" w:rsidRDefault="009243DA" w:rsidP="009243DA">
      <w:pPr>
        <w:rPr>
          <w:b/>
          <w:bCs/>
          <w:i/>
          <w:iCs/>
        </w:rPr>
      </w:pPr>
      <w:r>
        <w:rPr>
          <w:b/>
          <w:bCs/>
          <w:i/>
          <w:iCs/>
        </w:rPr>
        <w:t>Rashodi za zaposlene</w:t>
      </w:r>
    </w:p>
    <w:p w:rsidR="009243DA" w:rsidRDefault="009243DA" w:rsidP="009243DA">
      <w:pPr>
        <w:spacing w:before="120"/>
      </w:pPr>
      <w:r w:rsidRPr="00AD30D0">
        <w:t>Rashodi za zaposlene u razdoblju I-VI 2015. godine izvršeni su u iznosu od 12,2</w:t>
      </w:r>
      <w:r w:rsidRPr="00AD30D0">
        <w:rPr>
          <w:color w:val="FF0000"/>
        </w:rPr>
        <w:t xml:space="preserve"> </w:t>
      </w:r>
      <w:r w:rsidRPr="00AD30D0">
        <w:t>milijarde kuna što čini 49,3% planiranih sredstava za 2015. godinu. Od navedenog iznosa rashodi za zaposlene financirani vlastitim i namjenskim prihodima proračunskih korisnika koji su Zakonom izuzeti od uplate u državni proračun evidentirani su u iznosu od 1,7 milijardi kuna.</w:t>
      </w:r>
    </w:p>
    <w:p w:rsidR="009243DA" w:rsidRPr="00AD4A49" w:rsidRDefault="009243DA" w:rsidP="009243DA">
      <w:pPr>
        <w:spacing w:before="120"/>
      </w:pPr>
      <w:r w:rsidRPr="00AD30D0">
        <w:t>Uzimajući u obzir promjene u državnom proračunu za 2015. godinu (Tablica 9), na rashodima za zaposlene u prvoj polovici 2015. godine ostvarena je ušteda od 120,5 milijuna kuna u odnosu na isto razdoblje prethodne godine. Navedena je ušteda rezultat smanjenja na plaćama i ostalim rashodima za zaposlene za 194,2 milijuna kuna uz istovremeno povećanje doprinosa za 73,7 milijuna kuna. Naime, Zakonom o izmjenama i dopunama Zakona o doprinosima (Narodne novine, br. 41/14) koji je stupio na snagu u travnju 2014. povećan je zdravstveni doprinos s 13 na 15% bruto plaće.</w:t>
      </w:r>
      <w:r w:rsidRPr="00AD4A49">
        <w:t xml:space="preserve"> </w:t>
      </w:r>
    </w:p>
    <w:p w:rsidR="009243DA" w:rsidRPr="00856FDE" w:rsidRDefault="009243DA" w:rsidP="009243DA">
      <w:pPr>
        <w:rPr>
          <w:color w:val="FF0000"/>
        </w:rPr>
      </w:pPr>
    </w:p>
    <w:p w:rsidR="009243DA" w:rsidRDefault="009243DA" w:rsidP="009243DA">
      <w:pPr>
        <w:keepNext/>
        <w:rPr>
          <w:b/>
          <w:bCs/>
          <w:i/>
          <w:iCs/>
        </w:rPr>
      </w:pPr>
      <w:r>
        <w:rPr>
          <w:b/>
          <w:bCs/>
          <w:i/>
          <w:iCs/>
        </w:rPr>
        <w:t>Materijalni rashodi</w:t>
      </w:r>
    </w:p>
    <w:p w:rsidR="009243DA" w:rsidRPr="00AD30D0" w:rsidRDefault="009243DA" w:rsidP="009243DA">
      <w:pPr>
        <w:keepNext/>
        <w:spacing w:before="120"/>
      </w:pPr>
      <w:r w:rsidRPr="00AD30D0">
        <w:t xml:space="preserve">Materijalni rashodi izvršeni su u iznosu od 4,8 milijardi kuna, što čini 47,8% planiranih sredstava za 2015. godinu. Od navedenog iznosa materijalni rashodi financirani vlastitim i namjenskim prihodima proračunskih korisnika koji su Zakonom izuzeti od uplate u državni proračun evidentirani su u iznosu od 1,5 milijardi kuna. </w:t>
      </w:r>
    </w:p>
    <w:p w:rsidR="009243DA" w:rsidRDefault="009243DA" w:rsidP="009243DA">
      <w:pPr>
        <w:keepNext/>
        <w:spacing w:before="120"/>
      </w:pPr>
      <w:r w:rsidRPr="00AD30D0">
        <w:t>Uzimajući u obzir promjene u državnom proračunu (Tablica 9) materijalni rashodi, u odnosu na isto razdoblje prethodne godine, manji su za 30,3 milijuna kuna. Smanjeni su rashodi za naknade troškova zaposlenima (naknade za prijevoz, za rad na terenu i odvojeni život) te rashodi za materijal i energiju.</w:t>
      </w:r>
    </w:p>
    <w:p w:rsidR="009243DA" w:rsidRDefault="009243DA" w:rsidP="009243DA">
      <w:pPr>
        <w:keepNext/>
        <w:rPr>
          <w:b/>
          <w:bCs/>
          <w:i/>
          <w:iCs/>
        </w:rPr>
      </w:pPr>
    </w:p>
    <w:p w:rsidR="009243DA" w:rsidRDefault="009243DA" w:rsidP="009243DA">
      <w:pPr>
        <w:keepNext/>
        <w:rPr>
          <w:b/>
          <w:bCs/>
          <w:i/>
          <w:iCs/>
        </w:rPr>
      </w:pPr>
      <w:r>
        <w:rPr>
          <w:b/>
          <w:bCs/>
          <w:i/>
          <w:iCs/>
        </w:rPr>
        <w:t>Financijski rashodi</w:t>
      </w:r>
    </w:p>
    <w:p w:rsidR="009243DA" w:rsidRPr="00AD30D0" w:rsidRDefault="009243DA" w:rsidP="009243DA">
      <w:pPr>
        <w:spacing w:before="120"/>
      </w:pPr>
      <w:r w:rsidRPr="00AD30D0">
        <w:t xml:space="preserve">U prvom polugodištu 2015. godine financijski rashodi su izvršeni u iznosu od 5,9 milijardi kuna što je 53,0% planiranih sredstava. Od navedenog iznosa ručno je evidentirano 5,1 milijun kuna financijskih rashoda podmirenih iz vlastitih i namjenskih prihoda proračunskih korisnika koji su Zakonom izuzeti od uplate u državni proračun. </w:t>
      </w:r>
    </w:p>
    <w:p w:rsidR="009243DA" w:rsidRPr="00AD30D0" w:rsidRDefault="009243DA" w:rsidP="009243DA">
      <w:pPr>
        <w:spacing w:before="120"/>
        <w:rPr>
          <w:color w:val="FF0000"/>
        </w:rPr>
      </w:pPr>
      <w:r w:rsidRPr="00AD30D0">
        <w:t xml:space="preserve">Najveći udio u financijskim rashodima (98,0%) čine kamate koje iznose 5,8 milijardi kuna, od čega kamate za izdane vrijednosne papire 4,9 milijardi kuna, a kamate za primljene kredite i zajmove 854,2 milijuna kuna. </w:t>
      </w:r>
    </w:p>
    <w:p w:rsidR="009243DA" w:rsidRDefault="009243DA" w:rsidP="009243DA">
      <w:pPr>
        <w:spacing w:before="120"/>
      </w:pPr>
      <w:r w:rsidRPr="00AD30D0">
        <w:t>U odnosu na isto razdoblje  prethodne godine, a uzimajući u obzir sve promjene u državnom proračunu, financijski rashodi izvršeni su za 673,1 milijun kuna više ili 12,9% .</w:t>
      </w:r>
    </w:p>
    <w:p w:rsidR="009243DA" w:rsidRDefault="009243DA" w:rsidP="009243DA">
      <w:pPr>
        <w:spacing w:before="120"/>
      </w:pPr>
    </w:p>
    <w:p w:rsidR="009243DA" w:rsidRPr="00C63249" w:rsidRDefault="009243DA" w:rsidP="009243DA">
      <w:pPr>
        <w:spacing w:before="120"/>
      </w:pPr>
    </w:p>
    <w:p w:rsidR="009243DA" w:rsidRPr="00A4040A" w:rsidRDefault="009243DA" w:rsidP="009243DA">
      <w:pPr>
        <w:keepNext/>
        <w:rPr>
          <w:b/>
          <w:bCs/>
          <w:i/>
          <w:iCs/>
        </w:rPr>
      </w:pPr>
      <w:r w:rsidRPr="00A4040A">
        <w:rPr>
          <w:b/>
          <w:bCs/>
          <w:i/>
          <w:iCs/>
        </w:rPr>
        <w:t>Subvencije</w:t>
      </w:r>
    </w:p>
    <w:p w:rsidR="009243DA" w:rsidRPr="00AD30D0" w:rsidRDefault="009243DA" w:rsidP="009243DA">
      <w:pPr>
        <w:keepNext/>
        <w:tabs>
          <w:tab w:val="left" w:pos="0"/>
        </w:tabs>
        <w:spacing w:before="120"/>
      </w:pPr>
      <w:r w:rsidRPr="00AD30D0">
        <w:t>Rashodi za subvencije u prvom polugodištu 2015. godine izvršeni su u iznosu od 4,0 milijarde kuna ili 66,7% ukupno planiranih sredstava za 2015. godinu. U odnosu na isto razdoblje prethodne godine, doznačena sredstva veća su za 8,5% ili 315,8 milijuna kuna što je rezultat povećanja subvencija u poljoprivredi uz istovremeno sm</w:t>
      </w:r>
      <w:r>
        <w:t>anjenje subvencija brodogradnji i</w:t>
      </w:r>
      <w:r w:rsidRPr="00AD30D0">
        <w:t xml:space="preserve"> </w:t>
      </w:r>
      <w:r>
        <w:t xml:space="preserve">za </w:t>
      </w:r>
      <w:r w:rsidRPr="00AD30D0">
        <w:t xml:space="preserve">razvoj sustava cestovnog i željezničkog prometa. </w:t>
      </w:r>
    </w:p>
    <w:p w:rsidR="009243DA" w:rsidRPr="00AD30D0" w:rsidRDefault="009243DA" w:rsidP="009243DA">
      <w:pPr>
        <w:keepNext/>
        <w:tabs>
          <w:tab w:val="left" w:pos="0"/>
        </w:tabs>
        <w:spacing w:before="120"/>
      </w:pPr>
      <w:r w:rsidRPr="00AD30D0">
        <w:t xml:space="preserve">Ministarstvo poljoprivrede isplatilo je 3,0 milijarde subvencija što je za 34,4% više u odnosu na isto razdoblje 2014. godine. Najveći dio subvencija se odnosi na izravna plaćanja u </w:t>
      </w:r>
      <w:r w:rsidRPr="00AD30D0">
        <w:lastRenderedPageBreak/>
        <w:t>poljoprivredi 2,3 milijarde kuna, od čega je 1,2 milijarde kuna financirano iz sredstava Europskog poljoprivrednog jamstvenog fonda (EAGF). Slijede subvencije za mjere ruralnog razvoja u iznosu od 521,2 milijuna kuna, od čega je 419,3 milijuna kuna financirano iz sredstava Europskog poljoprivrednog fonda za ruralni razvoj (EAFRD).</w:t>
      </w:r>
    </w:p>
    <w:p w:rsidR="009243DA" w:rsidRDefault="009243DA" w:rsidP="009243DA">
      <w:pPr>
        <w:tabs>
          <w:tab w:val="left" w:pos="0"/>
        </w:tabs>
      </w:pPr>
      <w:r w:rsidRPr="00AD30D0">
        <w:t>Subvencije isplaćene u prometu, prometnoj infrastrukturi i komunikacijama iznose 654,3 milijun</w:t>
      </w:r>
      <w:r>
        <w:t>a</w:t>
      </w:r>
      <w:r w:rsidRPr="00AD30D0">
        <w:t xml:space="preserve"> kuna od čega sredstva utrošena za poticanje željezničkog putničkog prometa iznose 246,6 milijuna kuna, a za poticanje redovitih pomorskih putničkih i </w:t>
      </w:r>
      <w:proofErr w:type="spellStart"/>
      <w:r w:rsidRPr="00AD30D0">
        <w:t>brzobrodskih</w:t>
      </w:r>
      <w:proofErr w:type="spellEnd"/>
      <w:r w:rsidRPr="00AD30D0">
        <w:t xml:space="preserve"> linija 205,3 milijuna kuna.</w:t>
      </w:r>
      <w:r>
        <w:t xml:space="preserve"> </w:t>
      </w:r>
    </w:p>
    <w:p w:rsidR="009243DA" w:rsidRDefault="009243DA" w:rsidP="009243DA">
      <w:pPr>
        <w:rPr>
          <w:b/>
          <w:bCs/>
          <w:i/>
          <w:iCs/>
        </w:rPr>
      </w:pPr>
    </w:p>
    <w:p w:rsidR="009243DA" w:rsidRDefault="009243DA" w:rsidP="009243DA">
      <w:pPr>
        <w:rPr>
          <w:b/>
          <w:bCs/>
          <w:i/>
          <w:iCs/>
        </w:rPr>
      </w:pPr>
      <w:r>
        <w:rPr>
          <w:b/>
          <w:bCs/>
          <w:i/>
          <w:iCs/>
        </w:rPr>
        <w:t>Pomoći dane u inozemstvo i unutar općeg proračuna</w:t>
      </w:r>
    </w:p>
    <w:p w:rsidR="009243DA" w:rsidRDefault="009243DA" w:rsidP="009243DA">
      <w:pPr>
        <w:spacing w:before="120"/>
        <w:rPr>
          <w:bCs/>
          <w:iCs/>
        </w:rPr>
      </w:pPr>
      <w:r w:rsidRPr="00AD30D0">
        <w:rPr>
          <w:bCs/>
          <w:iCs/>
        </w:rPr>
        <w:t>Pomoći dane u inozemstvo i unutar općeg proračuna izvršene su u iznosu od 5,7 milijardi kuna, od čega iznos od 1,2 milijarde kuna se odnosi na transfer proračunskih sredstava HZZO-u, doznačen u razdoblju siječanj – lipanj 2015. Isključivši promjene, pomoći dane u inozemstvo i unutar općeg proračuna u prvom polugodištu 2015. manje su za 156,5 milijuna kuna ili 3,4% u odnosu na isto razdoblje prošle godine. Navedeno smanjenje rezultat je smanjene uplate doprinosa Republike Hrvatske proračunu Europske Unije za 335,1 milijun kuna u odnosu na isto razdoblje prošle godine radi promjene u dinamici plaćanja.</w:t>
      </w:r>
      <w:r>
        <w:rPr>
          <w:bCs/>
          <w:iCs/>
        </w:rPr>
        <w:t xml:space="preserve"> </w:t>
      </w:r>
    </w:p>
    <w:p w:rsidR="009243DA" w:rsidRDefault="009243DA" w:rsidP="009243DA">
      <w:pPr>
        <w:rPr>
          <w:b/>
          <w:bCs/>
          <w:i/>
          <w:iCs/>
        </w:rPr>
      </w:pPr>
    </w:p>
    <w:p w:rsidR="009243DA" w:rsidRDefault="009243DA" w:rsidP="009243DA">
      <w:pPr>
        <w:rPr>
          <w:b/>
          <w:bCs/>
          <w:i/>
          <w:iCs/>
        </w:rPr>
      </w:pPr>
      <w:r>
        <w:rPr>
          <w:b/>
          <w:bCs/>
          <w:i/>
          <w:iCs/>
        </w:rPr>
        <w:t>Naknade građanima i kućanstvima</w:t>
      </w:r>
    </w:p>
    <w:p w:rsidR="009243DA" w:rsidRPr="00AD30D0" w:rsidRDefault="009243DA" w:rsidP="009243DA">
      <w:pPr>
        <w:spacing w:before="120"/>
        <w:rPr>
          <w:bCs/>
          <w:iCs/>
        </w:rPr>
      </w:pPr>
      <w:r w:rsidRPr="00AD30D0">
        <w:rPr>
          <w:bCs/>
          <w:iCs/>
        </w:rPr>
        <w:t xml:space="preserve">Iako u strukturi ostvarenih rashoda poslovanja za promatrano razdoblje i nadalje najveći udio od 39,4% čine naknade građanima i kućanstvima na temelju osiguranja i druge naknade, navedeni udio se značajno smanjio u 2015. godini izdvajanjem HZZO-a iz državnog proračuna i državne riznice. </w:t>
      </w:r>
    </w:p>
    <w:p w:rsidR="009243DA" w:rsidRPr="00AD30D0" w:rsidRDefault="009243DA" w:rsidP="009243DA">
      <w:pPr>
        <w:spacing w:before="120"/>
      </w:pPr>
      <w:r w:rsidRPr="00AD30D0">
        <w:rPr>
          <w:bCs/>
          <w:iCs/>
        </w:rPr>
        <w:t>U razdoblju siječanj-lipanj 2015. godine naknade građanima i kućanstvima izvršene su u iznosu od 22,7 milijardi kuna</w:t>
      </w:r>
      <w:r w:rsidRPr="00AD30D0">
        <w:t xml:space="preserve">, što je u usporedbi s prošlom godinom povećanje za 231,6 milijuna kuna (navedena usporedba podrazumijeva isključene naknade građanima i kućanstvima isplaćene s pozicija HZZO-a u 2014. godini). Povećanje je rezultat podmirenih troškova za sanaciju šteta od poplava. </w:t>
      </w:r>
    </w:p>
    <w:p w:rsidR="009243DA" w:rsidRDefault="009243DA" w:rsidP="009243DA">
      <w:pPr>
        <w:spacing w:before="120"/>
      </w:pPr>
      <w:r w:rsidRPr="00AD30D0">
        <w:t>Najveći dio rashoda u ovoj skupini odnosi se na mirovine i mirovinska primanja u iznosu od 18,2 milijardi kuna, što čini 80,5% ukupno izvršenih rashoda za naknade građanima i kućanstvima u prvoj polovici 2015. godine. U odnosu na isto razdoblje 2014. godine  mirovine su porasle za 65,8 milijuna kuna.</w:t>
      </w:r>
    </w:p>
    <w:p w:rsidR="009243DA" w:rsidRDefault="009243DA" w:rsidP="009243DA">
      <w:pPr>
        <w:outlineLvl w:val="0"/>
        <w:rPr>
          <w:color w:val="FF0000"/>
        </w:rPr>
      </w:pPr>
    </w:p>
    <w:p w:rsidR="009243DA" w:rsidRPr="00821E37" w:rsidRDefault="009243DA" w:rsidP="009243DA">
      <w:pPr>
        <w:outlineLvl w:val="0"/>
        <w:rPr>
          <w:b/>
          <w:bCs/>
        </w:rPr>
      </w:pPr>
      <w:r w:rsidRPr="00821E37">
        <w:rPr>
          <w:b/>
          <w:bCs/>
        </w:rPr>
        <w:t xml:space="preserve">Tablica </w:t>
      </w:r>
      <w:r>
        <w:rPr>
          <w:b/>
          <w:bCs/>
        </w:rPr>
        <w:t>10</w:t>
      </w:r>
      <w:r w:rsidRPr="00821E37">
        <w:rPr>
          <w:b/>
          <w:bCs/>
        </w:rPr>
        <w:t>. Rashodi za naknade građanima i kućanstvima na temelju osiguranja i druge naknade s isključenim promjenama</w:t>
      </w:r>
    </w:p>
    <w:p w:rsidR="009243DA" w:rsidRDefault="009243DA" w:rsidP="009243DA">
      <w:r>
        <w:rPr>
          <w:noProof/>
        </w:rPr>
        <w:drawing>
          <wp:inline distT="0" distB="0" distL="0" distR="0">
            <wp:extent cx="5762625" cy="18288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828800"/>
                    </a:xfrm>
                    <a:prstGeom prst="rect">
                      <a:avLst/>
                    </a:prstGeom>
                    <a:noFill/>
                    <a:ln>
                      <a:noFill/>
                    </a:ln>
                  </pic:spPr>
                </pic:pic>
              </a:graphicData>
            </a:graphic>
          </wp:inline>
        </w:drawing>
      </w:r>
    </w:p>
    <w:p w:rsidR="009243DA" w:rsidRDefault="009243DA" w:rsidP="009243DA">
      <w:pPr>
        <w:rPr>
          <w:b/>
          <w:bCs/>
          <w:i/>
          <w:iCs/>
        </w:rPr>
      </w:pPr>
    </w:p>
    <w:p w:rsidR="009243DA" w:rsidRPr="00731FB9" w:rsidRDefault="009243DA" w:rsidP="009243DA">
      <w:r>
        <w:rPr>
          <w:b/>
          <w:bCs/>
          <w:i/>
          <w:iCs/>
        </w:rPr>
        <w:t>Ostali rashodi</w:t>
      </w:r>
    </w:p>
    <w:p w:rsidR="009243DA" w:rsidRPr="006F2231" w:rsidRDefault="009243DA" w:rsidP="009243DA">
      <w:pPr>
        <w:spacing w:before="120"/>
      </w:pPr>
      <w:r w:rsidRPr="006F2231">
        <w:lastRenderedPageBreak/>
        <w:t xml:space="preserve">Ostali rashodi izvršeni su u razdoblju siječanj-lipanj 2015. u iznosu od 2,3 milijarde kuna što čini </w:t>
      </w:r>
      <w:r>
        <w:t>36,1</w:t>
      </w:r>
      <w:r w:rsidRPr="006F2231">
        <w:t xml:space="preserve">% planiranih sredstava za 2015. godinu. Od navedenog iznosa u državni proračun ručno je evidentirano 9,6 milijuna kuna. </w:t>
      </w:r>
    </w:p>
    <w:p w:rsidR="009243DA" w:rsidRPr="006F2231" w:rsidRDefault="009243DA" w:rsidP="009243DA">
      <w:pPr>
        <w:spacing w:before="120"/>
      </w:pPr>
      <w:r w:rsidRPr="006F2231">
        <w:t>Najveće stavke na ovoj kategoriji rashoda čine tekuće donacije u iznosu 913,6 milijuna kuna, od čega je iznos od 328,0 milijun kuna izdvojen na stavkama Ministarstva financija (potpore vjerskim zajednicama, naknade za štete uzrokovane elementarnim nepogodama, isplate po sudskim rješenjima, potpore političkim strankama, proračunska zaliha i dr.).</w:t>
      </w:r>
    </w:p>
    <w:p w:rsidR="009243DA" w:rsidRPr="006F2231" w:rsidRDefault="009243DA" w:rsidP="009243DA">
      <w:pPr>
        <w:spacing w:before="120"/>
      </w:pPr>
      <w:r w:rsidRPr="006F2231">
        <w:t>Kapitalne pomoći u promatranom razdoblju izvršene su u iznosu od 796,1 milijuna kuna od čega se 457,5 milijuna kuna odnosi na transfer Hrvatskim autocestama i HŽ Infrastrukturi za dio pripadajuće naknade u cijeni goriva. Za održavanje željezničke infrastrukture, regulaciju prometa i modernizaciju željezničkih vozila u prvoj polovici 2015. godini doznačeno je 276,5 milijuna kuna.</w:t>
      </w:r>
    </w:p>
    <w:p w:rsidR="009243DA" w:rsidRDefault="009243DA" w:rsidP="009243DA">
      <w:pPr>
        <w:spacing w:before="120"/>
      </w:pPr>
      <w:r w:rsidRPr="006F2231">
        <w:t>Učešće Ministarstva znanosti u ostalim rashodima iznosi 277,6 milijuna kuna a vezano je  najvećim dijelom uz rashode za smještaj i prehranu studenata, poboljšanje studentskog standarda i razvoj sporta.</w:t>
      </w:r>
    </w:p>
    <w:p w:rsidR="009243DA" w:rsidRPr="005104AC" w:rsidRDefault="009243DA" w:rsidP="009243DA"/>
    <w:p w:rsidR="009243DA" w:rsidRDefault="009243DA" w:rsidP="009243DA">
      <w:pPr>
        <w:pStyle w:val="Naslov3"/>
        <w:rPr>
          <w:rFonts w:ascii="Times New Roman" w:hAnsi="Times New Roman" w:cs="Times New Roman"/>
          <w:sz w:val="24"/>
          <w:szCs w:val="24"/>
          <w:u w:val="single"/>
        </w:rPr>
      </w:pPr>
      <w:r>
        <w:rPr>
          <w:rFonts w:ascii="Times New Roman" w:hAnsi="Times New Roman" w:cs="Times New Roman"/>
          <w:sz w:val="24"/>
          <w:szCs w:val="24"/>
          <w:u w:val="single"/>
        </w:rPr>
        <w:t>Rashodi za nabavu nefinancijske imovine</w:t>
      </w:r>
    </w:p>
    <w:p w:rsidR="009243DA" w:rsidRDefault="009243DA" w:rsidP="009243DA"/>
    <w:p w:rsidR="009243DA" w:rsidRDefault="009243DA" w:rsidP="009243DA">
      <w:r w:rsidRPr="006F2231">
        <w:t>Ukupni rashodi za nabavu nefinancijske imovine u 2015. godini planirani su u iznosu od 3,</w:t>
      </w:r>
      <w:proofErr w:type="spellStart"/>
      <w:r w:rsidRPr="006F2231">
        <w:t>3</w:t>
      </w:r>
      <w:proofErr w:type="spellEnd"/>
      <w:r w:rsidRPr="006F2231">
        <w:t xml:space="preserve"> milijarde kuna. U prvom polugodištu 2015. godine realizirano je 868,4 milijuna kuna odnosno 26,6% plana što je za ovu skupinu rashoda uobičajena dinamika zbog procesa ugovaranja i izvođenja radova koji dolaze na naplatu u drugom dijelu godine.</w:t>
      </w:r>
      <w:r>
        <w:t xml:space="preserve"> </w:t>
      </w:r>
    </w:p>
    <w:p w:rsidR="009243DA" w:rsidRDefault="009243DA" w:rsidP="009243DA">
      <w:pPr>
        <w:outlineLvl w:val="0"/>
        <w:rPr>
          <w:color w:val="FF0000"/>
        </w:rPr>
      </w:pPr>
    </w:p>
    <w:p w:rsidR="009243DA" w:rsidRPr="00821E37" w:rsidRDefault="009243DA" w:rsidP="009243DA">
      <w:pPr>
        <w:outlineLvl w:val="0"/>
        <w:rPr>
          <w:b/>
          <w:bCs/>
        </w:rPr>
      </w:pPr>
      <w:r w:rsidRPr="00821E37">
        <w:rPr>
          <w:b/>
          <w:bCs/>
        </w:rPr>
        <w:t>Tablica 11. Kretanje rashoda za nabavu nefinancijske imovine u 2014. i 2015. s isključenjima promjenama</w:t>
      </w:r>
    </w:p>
    <w:p w:rsidR="009243DA" w:rsidRDefault="009243DA" w:rsidP="009243DA">
      <w:r>
        <w:rPr>
          <w:noProof/>
        </w:rPr>
        <w:drawing>
          <wp:inline distT="0" distB="0" distL="0" distR="0">
            <wp:extent cx="5762625" cy="7048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rsidR="009243DA" w:rsidRDefault="009243DA" w:rsidP="009243DA">
      <w:pPr>
        <w:rPr>
          <w:sz w:val="20"/>
          <w:szCs w:val="20"/>
        </w:rPr>
      </w:pPr>
    </w:p>
    <w:p w:rsidR="009243DA" w:rsidRPr="005104AC" w:rsidRDefault="009243DA" w:rsidP="009243DA">
      <w:pPr>
        <w:rPr>
          <w:sz w:val="18"/>
          <w:szCs w:val="18"/>
        </w:rPr>
      </w:pPr>
      <w:r w:rsidRPr="005104AC">
        <w:rPr>
          <w:sz w:val="18"/>
          <w:szCs w:val="18"/>
        </w:rPr>
        <w:t>Napomena: u stupcu Ostvarenje I-VI 2014. isključeno je izvršenje rashoda za nabavu nefinancijske imovine HZZO-a. U stupcu Ostvarenje I-VI 2015. isključeno je izvršenje rashoda koji se u državnom proračunu evidentiraju ručno (proračunski korisnici u znanosti, visokom obrazovanju, pravosuđu, sustavu izvršenja sankcija, socijalnoj skrbi kao i ustanove u kulturi, nacionalni parkovi, parkovi prirode, zdravstvene ustanove, Državni zavod za zaštitu prirode i Hrvatski hidrografski institut).</w:t>
      </w:r>
    </w:p>
    <w:p w:rsidR="009243DA" w:rsidRPr="009A6660" w:rsidRDefault="009243DA" w:rsidP="009243DA">
      <w:pPr>
        <w:rPr>
          <w:sz w:val="22"/>
          <w:szCs w:val="22"/>
        </w:rPr>
      </w:pPr>
    </w:p>
    <w:p w:rsidR="009243DA" w:rsidRDefault="009243DA" w:rsidP="009243DA">
      <w:r w:rsidRPr="006F2231">
        <w:t xml:space="preserve">Uzimajući u obzir promjene u državnom proračunu (Tablica 10) rashodi za nabavu nefinancijske imovine povećani su za 63,3 milijuna kuna u odnosu na prvo polugodište 2014. </w:t>
      </w:r>
      <w:bookmarkStart w:id="0" w:name="_Toc246512772"/>
      <w:r w:rsidRPr="006F2231">
        <w:t xml:space="preserve">što je rezultat povećanja rashoda za nabavu nefinancijske imovine Ministarstva obrane za opremanje, izgradnju objekata i infrastrukture te za </w:t>
      </w:r>
      <w:proofErr w:type="spellStart"/>
      <w:r w:rsidRPr="006F2231">
        <w:t>Schengenski</w:t>
      </w:r>
      <w:proofErr w:type="spellEnd"/>
      <w:r w:rsidRPr="006F2231">
        <w:t xml:space="preserve"> instrument - postrojenja i oprema, prijevozna sredstva.</w:t>
      </w:r>
    </w:p>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 w:rsidR="009243DA" w:rsidRDefault="009243DA" w:rsidP="009243DA">
      <w:pPr>
        <w:pStyle w:val="Naslov3"/>
        <w:rPr>
          <w:rFonts w:ascii="Times New Roman" w:hAnsi="Times New Roman" w:cs="Times New Roman"/>
          <w:sz w:val="24"/>
          <w:szCs w:val="24"/>
        </w:rPr>
      </w:pPr>
      <w:r>
        <w:rPr>
          <w:rFonts w:ascii="Times New Roman" w:hAnsi="Times New Roman" w:cs="Times New Roman"/>
          <w:sz w:val="24"/>
          <w:szCs w:val="24"/>
        </w:rPr>
        <w:t>2. Izvršenje rashoda po izvorima financiranja</w:t>
      </w:r>
      <w:bookmarkEnd w:id="0"/>
    </w:p>
    <w:p w:rsidR="009243DA" w:rsidRDefault="009243DA" w:rsidP="009243DA"/>
    <w:p w:rsidR="009243DA" w:rsidRPr="00821E37" w:rsidRDefault="009243DA" w:rsidP="009243DA">
      <w:pPr>
        <w:outlineLvl w:val="0"/>
        <w:rPr>
          <w:b/>
          <w:bCs/>
        </w:rPr>
      </w:pPr>
      <w:r w:rsidRPr="00821E37">
        <w:rPr>
          <w:b/>
          <w:bCs/>
        </w:rPr>
        <w:t>Ta</w:t>
      </w:r>
      <w:r>
        <w:rPr>
          <w:b/>
          <w:bCs/>
        </w:rPr>
        <w:t>blica 12.</w:t>
      </w:r>
      <w:r w:rsidRPr="00821E37">
        <w:rPr>
          <w:b/>
          <w:bCs/>
        </w:rPr>
        <w:t xml:space="preserve"> Izvršenje rashoda po izvorima financiranja</w:t>
      </w:r>
    </w:p>
    <w:p w:rsidR="009243DA" w:rsidRPr="000D443C" w:rsidRDefault="009243DA" w:rsidP="009243DA">
      <w:pPr>
        <w:outlineLvl w:val="0"/>
        <w:rPr>
          <w:color w:val="FF0000"/>
        </w:rPr>
      </w:pPr>
      <w:r>
        <w:rPr>
          <w:noProof/>
          <w:color w:val="FF0000"/>
        </w:rPr>
        <w:drawing>
          <wp:inline distT="0" distB="0" distL="0" distR="0">
            <wp:extent cx="5229225" cy="21621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162175"/>
                    </a:xfrm>
                    <a:prstGeom prst="rect">
                      <a:avLst/>
                    </a:prstGeom>
                    <a:noFill/>
                    <a:ln>
                      <a:noFill/>
                    </a:ln>
                  </pic:spPr>
                </pic:pic>
              </a:graphicData>
            </a:graphic>
          </wp:inline>
        </w:drawing>
      </w:r>
    </w:p>
    <w:p w:rsidR="009243DA" w:rsidRDefault="009243DA" w:rsidP="009243DA"/>
    <w:p w:rsidR="009243DA" w:rsidRDefault="009243DA" w:rsidP="009243DA">
      <w:pPr>
        <w:pStyle w:val="Naslov3"/>
        <w:rPr>
          <w:rFonts w:ascii="Times New Roman" w:hAnsi="Times New Roman" w:cs="Times New Roman"/>
          <w:sz w:val="24"/>
          <w:szCs w:val="24"/>
        </w:rPr>
      </w:pPr>
      <w:r>
        <w:rPr>
          <w:rFonts w:ascii="Times New Roman" w:hAnsi="Times New Roman" w:cs="Times New Roman"/>
          <w:sz w:val="24"/>
          <w:szCs w:val="24"/>
        </w:rPr>
        <w:t>3. Rashodi po funkcijskoj klasifikaciji</w:t>
      </w:r>
    </w:p>
    <w:p w:rsidR="009243DA" w:rsidRDefault="009243DA" w:rsidP="009243DA">
      <w:pPr>
        <w:keepNext/>
        <w:rPr>
          <w:b/>
        </w:rPr>
      </w:pPr>
    </w:p>
    <w:p w:rsidR="009243DA" w:rsidRDefault="009243DA" w:rsidP="009243DA">
      <w:pPr>
        <w:keepNext/>
        <w:rPr>
          <w:color w:val="000000"/>
        </w:rPr>
      </w:pPr>
      <w:r>
        <w:t xml:space="preserve">Sa ciljem povećanja transparentnosti korištenja proračunskih sredstava prema namjeni, u </w:t>
      </w:r>
      <w:r>
        <w:rPr>
          <w:color w:val="000000"/>
        </w:rPr>
        <w:t>nastavku se u okviru godišnjeg izvještaja o izvršenju državnog proračuna daje prikaz rashoda po funkcijskoj klasifikaciji. Brojčane oznake i nazivi funkcijske klasifikacije preuzeti su iz međunarodne klasifikacije funkcija države (COFOG) Ujedinjenih naroda – Klasifikacija rashoda u skladu s namjenom.</w:t>
      </w:r>
    </w:p>
    <w:p w:rsidR="009243DA" w:rsidRDefault="009243DA" w:rsidP="009243DA">
      <w:pPr>
        <w:keepNext/>
      </w:pPr>
    </w:p>
    <w:p w:rsidR="009243DA" w:rsidRDefault="009243DA" w:rsidP="009243DA">
      <w:pPr>
        <w:outlineLvl w:val="0"/>
        <w:rPr>
          <w:b/>
        </w:rPr>
      </w:pPr>
    </w:p>
    <w:p w:rsidR="009243DA" w:rsidRDefault="009243DA" w:rsidP="009243DA">
      <w:pPr>
        <w:outlineLvl w:val="0"/>
      </w:pPr>
      <w:r>
        <w:rPr>
          <w:b/>
        </w:rPr>
        <w:t>Grafikon 2. Rashodi po funkcijskoj klasifikaciji</w:t>
      </w:r>
    </w:p>
    <w:p w:rsidR="009243DA" w:rsidRDefault="009243DA" w:rsidP="009243DA">
      <w:pPr>
        <w:outlineLvl w:val="0"/>
      </w:pPr>
      <w:r>
        <w:rPr>
          <w:noProof/>
        </w:rPr>
        <w:drawing>
          <wp:inline distT="0" distB="0" distL="0" distR="0">
            <wp:extent cx="5372100" cy="3028950"/>
            <wp:effectExtent l="0" t="0" r="0" b="0"/>
            <wp:docPr id="6"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43DA" w:rsidRDefault="009243DA" w:rsidP="009243DA">
      <w:pPr>
        <w:tabs>
          <w:tab w:val="left" w:pos="2204"/>
        </w:tabs>
        <w:outlineLvl w:val="0"/>
        <w:rPr>
          <w:b/>
          <w:bCs/>
        </w:rPr>
      </w:pPr>
    </w:p>
    <w:p w:rsidR="009243DA" w:rsidRDefault="009243DA" w:rsidP="009243DA">
      <w:pPr>
        <w:tabs>
          <w:tab w:val="left" w:pos="2204"/>
        </w:tabs>
        <w:outlineLvl w:val="0"/>
        <w:rPr>
          <w:b/>
          <w:bCs/>
        </w:rPr>
      </w:pPr>
    </w:p>
    <w:p w:rsidR="009243DA" w:rsidRDefault="009243DA" w:rsidP="009243DA">
      <w:pPr>
        <w:tabs>
          <w:tab w:val="left" w:pos="2204"/>
        </w:tabs>
        <w:outlineLvl w:val="0"/>
        <w:rPr>
          <w:b/>
          <w:bCs/>
        </w:rPr>
      </w:pPr>
    </w:p>
    <w:p w:rsidR="009243DA" w:rsidRPr="00821E37" w:rsidRDefault="009243DA" w:rsidP="009243DA">
      <w:pPr>
        <w:outlineLvl w:val="0"/>
        <w:rPr>
          <w:b/>
          <w:bCs/>
        </w:rPr>
      </w:pPr>
      <w:r>
        <w:rPr>
          <w:b/>
          <w:bCs/>
        </w:rPr>
        <w:lastRenderedPageBreak/>
        <w:t>Tablica 13.</w:t>
      </w:r>
      <w:r w:rsidRPr="00821E37">
        <w:rPr>
          <w:b/>
          <w:bCs/>
        </w:rPr>
        <w:t xml:space="preserve"> Rashodi poslovanja i rashodi za nabavu nefinancijske imovine iskazani po namjenama-funkcijskoj klasifikaciji</w:t>
      </w:r>
    </w:p>
    <w:p w:rsidR="009243DA" w:rsidRPr="000D443C" w:rsidRDefault="009243DA" w:rsidP="009243DA">
      <w:pPr>
        <w:outlineLvl w:val="0"/>
        <w:rPr>
          <w:color w:val="FF0000"/>
        </w:rPr>
      </w:pPr>
      <w:r>
        <w:rPr>
          <w:noProof/>
        </w:rPr>
        <w:lastRenderedPageBreak/>
        <w:drawing>
          <wp:inline distT="0" distB="0" distL="0" distR="0">
            <wp:extent cx="5762625" cy="85439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8543925"/>
                    </a:xfrm>
                    <a:prstGeom prst="rect">
                      <a:avLst/>
                    </a:prstGeom>
                    <a:noFill/>
                    <a:ln>
                      <a:noFill/>
                    </a:ln>
                  </pic:spPr>
                </pic:pic>
              </a:graphicData>
            </a:graphic>
          </wp:inline>
        </w:drawing>
      </w:r>
    </w:p>
    <w:p w:rsidR="009243DA" w:rsidRPr="000D443C" w:rsidRDefault="009243DA" w:rsidP="009243DA">
      <w:pPr>
        <w:outlineLvl w:val="0"/>
        <w:rPr>
          <w:color w:val="FF0000"/>
        </w:rPr>
      </w:pPr>
      <w:r>
        <w:rPr>
          <w:noProof/>
        </w:rPr>
        <w:lastRenderedPageBreak/>
        <w:drawing>
          <wp:inline distT="0" distB="0" distL="0" distR="0">
            <wp:extent cx="5762625" cy="86868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686800"/>
                    </a:xfrm>
                    <a:prstGeom prst="rect">
                      <a:avLst/>
                    </a:prstGeom>
                    <a:noFill/>
                    <a:ln>
                      <a:noFill/>
                    </a:ln>
                  </pic:spPr>
                </pic:pic>
              </a:graphicData>
            </a:graphic>
          </wp:inline>
        </w:drawing>
      </w:r>
    </w:p>
    <w:p w:rsidR="009243DA" w:rsidRDefault="009243DA" w:rsidP="009243DA">
      <w:r>
        <w:rPr>
          <w:noProof/>
        </w:rPr>
        <w:lastRenderedPageBreak/>
        <w:drawing>
          <wp:inline distT="0" distB="0" distL="0" distR="0">
            <wp:extent cx="5762625" cy="57816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5781675"/>
                    </a:xfrm>
                    <a:prstGeom prst="rect">
                      <a:avLst/>
                    </a:prstGeom>
                    <a:noFill/>
                    <a:ln>
                      <a:noFill/>
                    </a:ln>
                  </pic:spPr>
                </pic:pic>
              </a:graphicData>
            </a:graphic>
          </wp:inline>
        </w:drawing>
      </w:r>
    </w:p>
    <w:p w:rsidR="009243DA" w:rsidRDefault="009243DA" w:rsidP="009243DA"/>
    <w:p w:rsidR="009243DA" w:rsidRDefault="009243DA" w:rsidP="009243DA">
      <w:pPr>
        <w:pStyle w:val="Naslov3"/>
        <w:rPr>
          <w:rFonts w:ascii="Times New Roman" w:hAnsi="Times New Roman"/>
          <w:sz w:val="24"/>
          <w:szCs w:val="24"/>
        </w:rPr>
      </w:pPr>
    </w:p>
    <w:p w:rsidR="009243DA" w:rsidRDefault="009243DA" w:rsidP="009243DA">
      <w:pPr>
        <w:pStyle w:val="Naslov3"/>
        <w:rPr>
          <w:rFonts w:ascii="Times New Roman" w:hAnsi="Times New Roman"/>
          <w:sz w:val="24"/>
          <w:szCs w:val="24"/>
        </w:rPr>
      </w:pPr>
    </w:p>
    <w:p w:rsidR="009243DA" w:rsidRDefault="009243DA" w:rsidP="009243DA">
      <w:pPr>
        <w:pStyle w:val="Naslov3"/>
        <w:rPr>
          <w:rFonts w:ascii="Times New Roman" w:hAnsi="Times New Roman"/>
          <w:sz w:val="24"/>
          <w:szCs w:val="24"/>
        </w:rPr>
      </w:pPr>
    </w:p>
    <w:p w:rsidR="009243DA" w:rsidRDefault="009243DA" w:rsidP="009243DA">
      <w:pPr>
        <w:pStyle w:val="Naslov3"/>
        <w:rPr>
          <w:rFonts w:ascii="Times New Roman" w:hAnsi="Times New Roman"/>
          <w:sz w:val="24"/>
          <w:szCs w:val="24"/>
        </w:rPr>
      </w:pPr>
    </w:p>
    <w:p w:rsidR="009243DA" w:rsidRPr="00FB6B8B" w:rsidRDefault="009243DA" w:rsidP="009243DA"/>
    <w:p w:rsidR="009243DA" w:rsidRDefault="009243DA" w:rsidP="009243DA">
      <w:pPr>
        <w:pStyle w:val="Naslov3"/>
        <w:rPr>
          <w:rFonts w:ascii="Times New Roman" w:hAnsi="Times New Roman"/>
          <w:sz w:val="24"/>
          <w:szCs w:val="24"/>
        </w:rPr>
      </w:pPr>
      <w:r>
        <w:rPr>
          <w:rFonts w:ascii="Times New Roman" w:hAnsi="Times New Roman"/>
          <w:sz w:val="24"/>
          <w:szCs w:val="24"/>
        </w:rPr>
        <w:br/>
      </w:r>
    </w:p>
    <w:p w:rsidR="009243DA" w:rsidRPr="00FB6B8B" w:rsidRDefault="009243DA" w:rsidP="009243DA"/>
    <w:p w:rsidR="009243DA" w:rsidRDefault="009243DA" w:rsidP="009243DA">
      <w:pPr>
        <w:pStyle w:val="Naslov3"/>
      </w:pPr>
      <w:r>
        <w:rPr>
          <w:rFonts w:ascii="Times New Roman" w:hAnsi="Times New Roman"/>
          <w:sz w:val="24"/>
          <w:szCs w:val="24"/>
        </w:rPr>
        <w:lastRenderedPageBreak/>
        <w:t>RAČUN FINANCIRANJA DRŽAVNOG PRORAČUNA</w:t>
      </w:r>
    </w:p>
    <w:p w:rsidR="009243DA" w:rsidRPr="002113B6" w:rsidRDefault="009243DA" w:rsidP="009243DA">
      <w:r w:rsidRPr="002113B6">
        <w:t xml:space="preserve">U razdoblju od I-VI 2015. godine ukupni prihodi (prihodi poslovanja i prihodi od prodaje nefinancijske imovine) ostvareni su u iznosu od 51,0 milijardu kuna, a rashodi (rashodi poslovanja i rashodi za nabavu nefinancijske imovine) u iznosu od 58,4 milijarde kuna. </w:t>
      </w:r>
    </w:p>
    <w:p w:rsidR="009243DA" w:rsidRPr="002113B6" w:rsidRDefault="009243DA" w:rsidP="009243DA"/>
    <w:p w:rsidR="009243DA" w:rsidRPr="002113B6" w:rsidRDefault="009243DA" w:rsidP="009243DA">
      <w:r w:rsidRPr="002113B6">
        <w:t>U nastavku daje se prikaz plana i izvršenja računa prihoda i rashoda državnog proračuna i prikaz ostvarenih primitaka od financijske imovine i zaduživanja te izdataka za financijsku imovinu i otplate zajmova za razdoblje I-VI 2015. godine.</w:t>
      </w:r>
    </w:p>
    <w:p w:rsidR="009243DA" w:rsidRPr="002113B6" w:rsidRDefault="009243DA" w:rsidP="009243DA">
      <w:pPr>
        <w:rPr>
          <w:b/>
        </w:rPr>
      </w:pPr>
    </w:p>
    <w:p w:rsidR="009243DA" w:rsidRPr="006E3EF6" w:rsidRDefault="009243DA" w:rsidP="009243DA">
      <w:pPr>
        <w:rPr>
          <w:b/>
        </w:rPr>
      </w:pPr>
      <w:r>
        <w:rPr>
          <w:b/>
        </w:rPr>
        <w:t>Tablica 14.</w:t>
      </w:r>
      <w:r w:rsidRPr="002113B6">
        <w:rPr>
          <w:b/>
        </w:rPr>
        <w:t xml:space="preserve"> Račun prihoda i rashoda i Račun financiranja za razdoblje I-VI 2015. godine</w:t>
      </w:r>
    </w:p>
    <w:p w:rsidR="009243DA" w:rsidRDefault="009243DA" w:rsidP="009243DA"/>
    <w:p w:rsidR="009243DA" w:rsidRDefault="009243DA" w:rsidP="009243DA">
      <w:r>
        <w:rPr>
          <w:noProof/>
        </w:rPr>
        <w:drawing>
          <wp:inline distT="0" distB="0" distL="0" distR="0">
            <wp:extent cx="5753100" cy="3543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543300"/>
                    </a:xfrm>
                    <a:prstGeom prst="rect">
                      <a:avLst/>
                    </a:prstGeom>
                    <a:noFill/>
                    <a:ln>
                      <a:noFill/>
                    </a:ln>
                  </pic:spPr>
                </pic:pic>
              </a:graphicData>
            </a:graphic>
          </wp:inline>
        </w:drawing>
      </w:r>
    </w:p>
    <w:p w:rsidR="009243DA" w:rsidRDefault="009243DA" w:rsidP="009243DA"/>
    <w:p w:rsidR="009243DA" w:rsidRDefault="009243DA" w:rsidP="009243DA">
      <w:r>
        <w:t>Sljedeća tablica daje prikaz strukture plana i ostvarenja računa financiranja državnog proračuna za razdoblje I-VI 2015. godine.</w:t>
      </w:r>
    </w:p>
    <w:p w:rsidR="009243DA" w:rsidRDefault="009243DA" w:rsidP="009243DA">
      <w:pPr>
        <w:rPr>
          <w:b/>
        </w:rPr>
      </w:pPr>
    </w:p>
    <w:p w:rsidR="009243DA" w:rsidRDefault="009243DA" w:rsidP="009243DA">
      <w:pPr>
        <w:keepNext/>
        <w:rPr>
          <w:b/>
        </w:rPr>
      </w:pPr>
      <w:r>
        <w:rPr>
          <w:b/>
        </w:rPr>
        <w:lastRenderedPageBreak/>
        <w:t>Tablica 15.</w:t>
      </w:r>
      <w:r w:rsidRPr="002113B6">
        <w:rPr>
          <w:b/>
        </w:rPr>
        <w:t xml:space="preserve"> Račun financiranja</w:t>
      </w:r>
    </w:p>
    <w:p w:rsidR="009243DA" w:rsidRDefault="009243DA" w:rsidP="009243DA">
      <w:pPr>
        <w:keepNext/>
        <w:rPr>
          <w:b/>
        </w:rPr>
      </w:pPr>
    </w:p>
    <w:p w:rsidR="009243DA" w:rsidRDefault="009243DA" w:rsidP="009243DA">
      <w:pPr>
        <w:pStyle w:val="Tijeloteksta-uvlaka3"/>
        <w:keepNext/>
        <w:tabs>
          <w:tab w:val="left" w:pos="180"/>
          <w:tab w:val="left" w:pos="540"/>
        </w:tabs>
        <w:spacing w:after="0"/>
        <w:ind w:left="0"/>
        <w:rPr>
          <w:sz w:val="24"/>
          <w:szCs w:val="24"/>
        </w:rPr>
      </w:pPr>
      <w:r>
        <w:rPr>
          <w:noProof/>
        </w:rPr>
        <w:drawing>
          <wp:inline distT="0" distB="0" distL="0" distR="0">
            <wp:extent cx="5753100" cy="497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4972050"/>
                    </a:xfrm>
                    <a:prstGeom prst="rect">
                      <a:avLst/>
                    </a:prstGeom>
                    <a:noFill/>
                    <a:ln>
                      <a:noFill/>
                    </a:ln>
                  </pic:spPr>
                </pic:pic>
              </a:graphicData>
            </a:graphic>
          </wp:inline>
        </w:drawing>
      </w:r>
    </w:p>
    <w:p w:rsidR="009243DA" w:rsidRDefault="009243DA" w:rsidP="009243DA">
      <w:pPr>
        <w:pStyle w:val="Tijeloteksta-uvlaka3"/>
        <w:tabs>
          <w:tab w:val="left" w:pos="180"/>
          <w:tab w:val="left" w:pos="540"/>
        </w:tabs>
        <w:spacing w:after="0"/>
        <w:ind w:left="0"/>
        <w:rPr>
          <w:sz w:val="24"/>
          <w:szCs w:val="24"/>
        </w:rPr>
      </w:pPr>
    </w:p>
    <w:p w:rsidR="009243DA"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Ukupni </w:t>
      </w:r>
      <w:r w:rsidRPr="002113B6">
        <w:rPr>
          <w:b/>
          <w:sz w:val="24"/>
          <w:szCs w:val="24"/>
        </w:rPr>
        <w:t>primici od financijske imovine i zaduživanja</w:t>
      </w:r>
      <w:r w:rsidRPr="002113B6">
        <w:rPr>
          <w:sz w:val="24"/>
          <w:szCs w:val="24"/>
        </w:rPr>
        <w:t xml:space="preserve"> u razdoblju od I-VI 2015. godine ostvareni su u iznosu od 23,3 milijarde kuna čime su financirani izdaci za financijsku imovinu i otplate zajmova te manjak državnog proračuna. </w:t>
      </w:r>
    </w:p>
    <w:p w:rsidR="009243DA" w:rsidRPr="002113B6"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U strukturi ukupnih primitaka od financijske imovine i zaduživanja </w:t>
      </w:r>
      <w:r w:rsidRPr="002113B6">
        <w:rPr>
          <w:b/>
          <w:i/>
          <w:sz w:val="24"/>
          <w:szCs w:val="24"/>
        </w:rPr>
        <w:t>primici od izdanih vrijednosnih papira</w:t>
      </w:r>
      <w:r w:rsidRPr="002113B6">
        <w:rPr>
          <w:sz w:val="24"/>
          <w:szCs w:val="24"/>
        </w:rPr>
        <w:t xml:space="preserve"> iznose 13,2 milijarde kuna od čega se 11,4 milijarde kuna odnosi na obveznice izdane u inozemstvu dok se 1,7 milijardi kuna odnosi na trezorske zapise (neto iznos).</w:t>
      </w:r>
    </w:p>
    <w:p w:rsidR="009243DA" w:rsidRPr="002113B6"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U ožujku 2015. na inozemnom tržištu kapitala Republika Hrvatska se zadužila izdavanjem desetogodišnjih </w:t>
      </w:r>
      <w:proofErr w:type="spellStart"/>
      <w:r w:rsidRPr="002113B6">
        <w:rPr>
          <w:sz w:val="24"/>
          <w:szCs w:val="24"/>
        </w:rPr>
        <w:t>euroobveznica</w:t>
      </w:r>
      <w:proofErr w:type="spellEnd"/>
      <w:r w:rsidRPr="002113B6">
        <w:rPr>
          <w:sz w:val="24"/>
          <w:szCs w:val="24"/>
        </w:rPr>
        <w:t xml:space="preserve"> ukupne vrijednosti 1,5 milijardi EUR-a po cijeni od 97,845% nominalnog iznosa. Kamatni kupon iznosi 3,0% uz prinos do dospijeća 3,256%. </w:t>
      </w:r>
    </w:p>
    <w:p w:rsidR="009243DA" w:rsidRPr="002113B6" w:rsidRDefault="009243DA" w:rsidP="009243DA">
      <w:pPr>
        <w:rPr>
          <w:b/>
          <w:i/>
        </w:rPr>
      </w:pPr>
    </w:p>
    <w:p w:rsidR="009243DA" w:rsidRPr="002113B6" w:rsidRDefault="009243DA" w:rsidP="009243DA">
      <w:r w:rsidRPr="002113B6">
        <w:rPr>
          <w:b/>
          <w:i/>
        </w:rPr>
        <w:t>Primici od zaduživanja</w:t>
      </w:r>
      <w:r w:rsidRPr="002113B6">
        <w:t xml:space="preserve"> ostvareni su u iznosu od 1,5 milijardi kuna od čega na primljene kredite i zajmove od međunarodnih organizacija, institucija i tijela EU te inozemnih vlada</w:t>
      </w:r>
    </w:p>
    <w:p w:rsidR="009243DA" w:rsidRDefault="009243DA" w:rsidP="009243DA">
      <w:r w:rsidRPr="002113B6">
        <w:t>otpada 627,7 milijuna kuna, na primljene kredite i zajmove od kreditnih i ostalih financijskih institucija u javnom sektoru 360,0 milijuna kuna, a na primljene kredite i zajmove od kreditnih i ostalih financijskih institucija izvan javnog sektora 511,4 milijuna kuna.</w:t>
      </w:r>
    </w:p>
    <w:p w:rsidR="009243DA"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U strukturi primljenih kredita i zajmova od međunarodnih organizacija, institucija i tijela EU te inozemnih vlada najveći udio imaju zajam za Projekt vodnog gospodarstva CEB 1751 (III tranša) u iznosu od 24 milijuna EUR-a (183,4 milijuna kuna) te projekt vodnog gospodarstva EIB (III tranša) također u iznosu od 24 milijuna EUR-a.</w:t>
      </w:r>
    </w:p>
    <w:p w:rsidR="009243DA" w:rsidRPr="002113B6"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Zbog potrebe financiranja izdataka u prvom kvartalu 2015. godine  u siječnju 2015. Republika Hrvatska zadužila se na domaćem financijskom tržištu kod Hrvatske poštanske banke i Zagrebačke banke u iznosu od 720,0 milijuna kuna uz kamatnu stopu u visini prinosa na trezorske zapise na 91 dan+4,10%.</w:t>
      </w:r>
    </w:p>
    <w:p w:rsidR="009243DA" w:rsidRPr="002113B6" w:rsidRDefault="009243DA" w:rsidP="009243DA">
      <w:pPr>
        <w:pStyle w:val="Tijeloteksta-uvlaka3"/>
        <w:tabs>
          <w:tab w:val="left" w:pos="180"/>
          <w:tab w:val="left" w:pos="540"/>
        </w:tabs>
        <w:spacing w:after="0"/>
        <w:ind w:left="0"/>
        <w:rPr>
          <w:sz w:val="24"/>
          <w:szCs w:val="24"/>
        </w:rPr>
      </w:pPr>
    </w:p>
    <w:p w:rsidR="009243DA" w:rsidRDefault="009243DA" w:rsidP="009243DA">
      <w:pPr>
        <w:pStyle w:val="Tijeloteksta-uvlaka3"/>
        <w:tabs>
          <w:tab w:val="left" w:pos="180"/>
          <w:tab w:val="left" w:pos="540"/>
        </w:tabs>
        <w:spacing w:after="0"/>
        <w:ind w:left="0"/>
        <w:rPr>
          <w:sz w:val="24"/>
          <w:szCs w:val="24"/>
        </w:rPr>
      </w:pPr>
      <w:r w:rsidRPr="002113B6">
        <w:rPr>
          <w:b/>
          <w:i/>
          <w:sz w:val="24"/>
          <w:szCs w:val="24"/>
        </w:rPr>
        <w:t>Primljene otplate (povrati) glavnice danih zajmova</w:t>
      </w:r>
      <w:r w:rsidRPr="002113B6">
        <w:rPr>
          <w:sz w:val="24"/>
          <w:szCs w:val="24"/>
        </w:rPr>
        <w:t xml:space="preserve"> u razdoblju od I-VI 2015. iznose 8,6 milijardi kuna, od čega se 8,4 milijarde kuna odnosi na primitke od povrata depozita od tuzemnih kreditnih i ostalih financijskih institucija. Radi se o isteku </w:t>
      </w:r>
      <w:proofErr w:type="spellStart"/>
      <w:r w:rsidRPr="002113B6">
        <w:rPr>
          <w:sz w:val="24"/>
          <w:szCs w:val="24"/>
        </w:rPr>
        <w:t>oročenja</w:t>
      </w:r>
      <w:proofErr w:type="spellEnd"/>
      <w:r w:rsidRPr="002113B6">
        <w:rPr>
          <w:sz w:val="24"/>
          <w:szCs w:val="24"/>
        </w:rPr>
        <w:t xml:space="preserve"> deviznih sredstava ostvarenih u 2014. godini sa svrhom financiranja državnog duga u 2015. godini.</w:t>
      </w:r>
      <w:r>
        <w:rPr>
          <w:sz w:val="24"/>
          <w:szCs w:val="24"/>
        </w:rPr>
        <w:t xml:space="preserve"> </w:t>
      </w:r>
    </w:p>
    <w:p w:rsidR="009243DA" w:rsidRPr="00426CE0" w:rsidRDefault="009243DA" w:rsidP="009243DA">
      <w:pPr>
        <w:pStyle w:val="Tijeloteksta-uvlaka3"/>
        <w:tabs>
          <w:tab w:val="left" w:pos="180"/>
          <w:tab w:val="left" w:pos="540"/>
        </w:tabs>
        <w:spacing w:after="0"/>
        <w:ind w:left="0"/>
        <w:rPr>
          <w:b/>
          <w:i/>
          <w:sz w:val="24"/>
          <w:szCs w:val="24"/>
        </w:rPr>
      </w:pPr>
    </w:p>
    <w:p w:rsidR="009243DA" w:rsidRPr="002113B6" w:rsidRDefault="009243DA" w:rsidP="009243DA">
      <w:pPr>
        <w:pStyle w:val="Tijeloteksta-uvlaka3"/>
        <w:tabs>
          <w:tab w:val="left" w:pos="180"/>
          <w:tab w:val="left" w:pos="540"/>
        </w:tabs>
        <w:spacing w:after="0"/>
        <w:ind w:left="0"/>
        <w:rPr>
          <w:sz w:val="24"/>
          <w:szCs w:val="24"/>
        </w:rPr>
      </w:pPr>
      <w:r>
        <w:rPr>
          <w:sz w:val="24"/>
          <w:szCs w:val="24"/>
        </w:rPr>
        <w:t xml:space="preserve">Primici (povrati) glavnice zajmova danih trgovačkim društvima i obrtnicima izvan javnog </w:t>
      </w:r>
      <w:r w:rsidRPr="002113B6">
        <w:rPr>
          <w:sz w:val="24"/>
          <w:szCs w:val="24"/>
        </w:rPr>
        <w:t>sektora iznose 148,8 milijuna kuna.</w:t>
      </w:r>
    </w:p>
    <w:p w:rsidR="009243DA" w:rsidRPr="002113B6" w:rsidRDefault="009243DA" w:rsidP="009243DA">
      <w:pPr>
        <w:pStyle w:val="Tijeloteksta-uvlaka3"/>
        <w:tabs>
          <w:tab w:val="left" w:pos="180"/>
          <w:tab w:val="left" w:pos="540"/>
        </w:tabs>
        <w:spacing w:after="0"/>
        <w:ind w:left="0"/>
        <w:rPr>
          <w:b/>
          <w:i/>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b/>
          <w:i/>
          <w:sz w:val="24"/>
          <w:szCs w:val="24"/>
        </w:rPr>
        <w:t>Primici od prodaje dionica i udjela u glavnici</w:t>
      </w:r>
      <w:r w:rsidRPr="002113B6">
        <w:rPr>
          <w:sz w:val="24"/>
          <w:szCs w:val="24"/>
        </w:rPr>
        <w:t xml:space="preserve"> iznose 1,</w:t>
      </w:r>
      <w:proofErr w:type="spellStart"/>
      <w:r w:rsidRPr="002113B6">
        <w:rPr>
          <w:sz w:val="24"/>
          <w:szCs w:val="24"/>
        </w:rPr>
        <w:t>1</w:t>
      </w:r>
      <w:proofErr w:type="spellEnd"/>
      <w:r w:rsidRPr="002113B6">
        <w:rPr>
          <w:sz w:val="24"/>
          <w:szCs w:val="24"/>
        </w:rPr>
        <w:t xml:space="preserve"> milijun kuna.</w:t>
      </w:r>
    </w:p>
    <w:p w:rsidR="009243DA" w:rsidRPr="002113B6"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ind w:left="0"/>
        <w:rPr>
          <w:sz w:val="24"/>
          <w:szCs w:val="24"/>
        </w:rPr>
      </w:pPr>
      <w:r w:rsidRPr="002113B6">
        <w:rPr>
          <w:sz w:val="24"/>
          <w:szCs w:val="24"/>
        </w:rPr>
        <w:t xml:space="preserve">U razdoblju od I-VI 2015. godine </w:t>
      </w:r>
      <w:r w:rsidRPr="002113B6">
        <w:rPr>
          <w:b/>
          <w:sz w:val="24"/>
          <w:szCs w:val="24"/>
        </w:rPr>
        <w:t xml:space="preserve">izdaci za financijsku imovinu i otplate zajmova </w:t>
      </w:r>
      <w:r w:rsidRPr="002113B6">
        <w:rPr>
          <w:sz w:val="24"/>
          <w:szCs w:val="24"/>
        </w:rPr>
        <w:t xml:space="preserve">iznose 11,0 milijardi kuna od čega su </w:t>
      </w:r>
      <w:r w:rsidRPr="002113B6">
        <w:rPr>
          <w:b/>
          <w:i/>
          <w:sz w:val="24"/>
          <w:szCs w:val="24"/>
        </w:rPr>
        <w:t>izdaci za dane zajmove</w:t>
      </w:r>
      <w:r w:rsidRPr="002113B6">
        <w:rPr>
          <w:sz w:val="24"/>
          <w:szCs w:val="24"/>
        </w:rPr>
        <w:t xml:space="preserve"> 516,2 milijuna kuna, </w:t>
      </w:r>
      <w:r w:rsidRPr="002113B6">
        <w:rPr>
          <w:b/>
          <w:i/>
          <w:sz w:val="24"/>
          <w:szCs w:val="24"/>
        </w:rPr>
        <w:t>izdaci za dionice i udjele u glavnici</w:t>
      </w:r>
      <w:r w:rsidRPr="002113B6">
        <w:rPr>
          <w:sz w:val="24"/>
          <w:szCs w:val="24"/>
        </w:rPr>
        <w:t xml:space="preserve"> 56,7 milijuna kuna, </w:t>
      </w:r>
      <w:r w:rsidRPr="002113B6">
        <w:rPr>
          <w:b/>
          <w:i/>
          <w:sz w:val="24"/>
          <w:szCs w:val="24"/>
        </w:rPr>
        <w:t>izdaci za otplatu glavnice primljenih kredita i zajmova</w:t>
      </w:r>
      <w:r w:rsidRPr="002113B6">
        <w:rPr>
          <w:sz w:val="24"/>
          <w:szCs w:val="24"/>
        </w:rPr>
        <w:t xml:space="preserve"> 4,6 milijardi kuna, a </w:t>
      </w:r>
      <w:r w:rsidRPr="002113B6">
        <w:rPr>
          <w:b/>
          <w:i/>
          <w:sz w:val="24"/>
          <w:szCs w:val="24"/>
        </w:rPr>
        <w:t xml:space="preserve">izdaci za otplatu glavnice za izdane vrijednosne papire </w:t>
      </w:r>
      <w:r w:rsidRPr="002113B6">
        <w:rPr>
          <w:sz w:val="24"/>
          <w:szCs w:val="24"/>
        </w:rPr>
        <w:t xml:space="preserve">5,8 milijardi kuna. </w:t>
      </w: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U strukturi izdataka za otplatu glavnice primljenih kredita i zajmova 455,9 milijuna kuna odnosi se na otplatu glavnice primljenih kredita i zajmova od međunarodnih organizacija, institucija i tijela EU te inozemnih vlada, a za otplatu glavnice primljenih kredita i zajmova od kreditnih i ostalih financijskih institucija u javnom sektoru izdvojeno je 227,7 milijuna kuna. Nadalje, na otplatu glavnice primljenih kredita i zajmova od kreditnih i ostalih financijskih institucija izvan javnog sektora otpada 3,9 milijardi kuna, od čega se 3,4 milijarde kuna odnose na otplatu glavnice primljenih kredita od tuzemnih kreditnih institucija izvan javnog sektora. </w:t>
      </w: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Na analitičkim računima otplata glavnice primljenih kredita od tuzemnih kreditnih institucija izvan javnog sektora, između ostalog, evidentirane su otplate dijela glavnice </w:t>
      </w:r>
      <w:proofErr w:type="spellStart"/>
      <w:r w:rsidRPr="002113B6">
        <w:rPr>
          <w:sz w:val="24"/>
          <w:szCs w:val="24"/>
        </w:rPr>
        <w:t>sindiciranog</w:t>
      </w:r>
      <w:proofErr w:type="spellEnd"/>
      <w:r w:rsidRPr="002113B6">
        <w:rPr>
          <w:sz w:val="24"/>
          <w:szCs w:val="24"/>
        </w:rPr>
        <w:t xml:space="preserve"> kredita 500 </w:t>
      </w:r>
      <w:proofErr w:type="spellStart"/>
      <w:r w:rsidRPr="002113B6">
        <w:rPr>
          <w:sz w:val="24"/>
          <w:szCs w:val="24"/>
        </w:rPr>
        <w:t>mil</w:t>
      </w:r>
      <w:proofErr w:type="spellEnd"/>
      <w:r w:rsidRPr="002113B6">
        <w:rPr>
          <w:sz w:val="24"/>
          <w:szCs w:val="24"/>
        </w:rPr>
        <w:t xml:space="preserve"> EUR-a iz 2005. godine u iznosu od 137,5 milijuna EUR-a, te otplate dijela glavnice </w:t>
      </w:r>
      <w:proofErr w:type="spellStart"/>
      <w:r w:rsidRPr="002113B6">
        <w:rPr>
          <w:sz w:val="24"/>
          <w:szCs w:val="24"/>
        </w:rPr>
        <w:t>sindiciranog</w:t>
      </w:r>
      <w:proofErr w:type="spellEnd"/>
      <w:r w:rsidRPr="002113B6">
        <w:rPr>
          <w:sz w:val="24"/>
          <w:szCs w:val="24"/>
        </w:rPr>
        <w:t xml:space="preserve"> kredita 760 milijuna EUR-a iz 2008. godine u iznosu od 96,9 milijuna EUR-a.</w:t>
      </w:r>
    </w:p>
    <w:p w:rsidR="009243DA" w:rsidRPr="002113B6" w:rsidRDefault="009243DA" w:rsidP="009243DA">
      <w:pPr>
        <w:pStyle w:val="Tijeloteksta-uvlaka3"/>
        <w:tabs>
          <w:tab w:val="left" w:pos="180"/>
          <w:tab w:val="left" w:pos="540"/>
        </w:tabs>
        <w:spacing w:after="0"/>
        <w:ind w:left="0"/>
        <w:rPr>
          <w:sz w:val="24"/>
          <w:szCs w:val="24"/>
        </w:rPr>
      </w:pPr>
    </w:p>
    <w:p w:rsidR="009243DA" w:rsidRPr="002113B6" w:rsidRDefault="009243DA" w:rsidP="009243DA">
      <w:pPr>
        <w:pStyle w:val="Tijeloteksta-uvlaka3"/>
        <w:tabs>
          <w:tab w:val="left" w:pos="180"/>
          <w:tab w:val="left" w:pos="540"/>
        </w:tabs>
        <w:spacing w:after="0"/>
        <w:ind w:left="0"/>
        <w:rPr>
          <w:sz w:val="24"/>
          <w:szCs w:val="24"/>
        </w:rPr>
      </w:pPr>
      <w:r w:rsidRPr="002113B6">
        <w:rPr>
          <w:sz w:val="24"/>
          <w:szCs w:val="24"/>
        </w:rPr>
        <w:t xml:space="preserve">Otplata glavnice primljenih kredita od inozemnih kreditnih institucija iznosi 508,9 milijuna kuna i najvećim dijelom se odnosi na otplatu zajma prema Credit Suisse AG za brodogradnju u iznosu od 61,6 milijuna EUR-a. </w:t>
      </w:r>
    </w:p>
    <w:p w:rsidR="009243DA" w:rsidRPr="002113B6" w:rsidRDefault="009243DA" w:rsidP="009243DA">
      <w:pPr>
        <w:outlineLvl w:val="0"/>
        <w:rPr>
          <w:b/>
        </w:rPr>
      </w:pPr>
    </w:p>
    <w:p w:rsidR="009243DA" w:rsidRDefault="009243DA" w:rsidP="009243DA">
      <w:r w:rsidRPr="002113B6">
        <w:t>Izdaci za otplatu glavnice za izdane vrijednosne papire iznose 5,8 milijardi kuna i u cijelost se odnose na izdatke za otplatu glavnice za izdane obveznice u inozemstvu.</w:t>
      </w:r>
    </w:p>
    <w:p w:rsidR="009243DA" w:rsidRPr="000A7FEA" w:rsidRDefault="009243DA" w:rsidP="009243DA"/>
    <w:p w:rsidR="000E1F1D" w:rsidRDefault="000E1F1D">
      <w:bookmarkStart w:id="1" w:name="_GoBack"/>
      <w:bookmarkEnd w:id="1"/>
    </w:p>
    <w:sectPr w:rsidR="000E1F1D" w:rsidSect="00643985">
      <w:footerReference w:type="even" r:id="rId17"/>
      <w:footerReference w:type="default" r:id="rId18"/>
      <w:footerReference w:type="first" r:id="rId19"/>
      <w:pgSz w:w="11906" w:h="16838" w:code="9"/>
      <w:pgMar w:top="1418" w:right="1418" w:bottom="1418" w:left="1418" w:header="709" w:footer="709" w:gutter="0"/>
      <w:pgNumType w:start="58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9C" w:rsidRDefault="009243DA" w:rsidP="000767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604</w:t>
    </w:r>
    <w:r>
      <w:rPr>
        <w:rStyle w:val="Brojstranice"/>
      </w:rPr>
      <w:fldChar w:fldCharType="end"/>
    </w:r>
  </w:p>
  <w:p w:rsidR="00DD469C" w:rsidRDefault="009243DA" w:rsidP="004B4DF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9C" w:rsidRDefault="009243DA" w:rsidP="000767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595</w:t>
    </w:r>
    <w:r>
      <w:rPr>
        <w:rStyle w:val="Brojstranice"/>
      </w:rPr>
      <w:fldChar w:fldCharType="end"/>
    </w:r>
  </w:p>
  <w:p w:rsidR="00DD469C" w:rsidRDefault="009243DA" w:rsidP="004B4DF5">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9C" w:rsidRDefault="009243DA" w:rsidP="004B4DF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D469C" w:rsidRDefault="009243DA">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DA"/>
    <w:rsid w:val="000E1F1D"/>
    <w:rsid w:val="00924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DA"/>
    <w:pPr>
      <w:spacing w:after="0" w:line="240" w:lineRule="auto"/>
      <w:jc w:val="both"/>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uiPriority w:val="99"/>
    <w:qFormat/>
    <w:rsid w:val="009243DA"/>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9"/>
    <w:rsid w:val="009243DA"/>
    <w:rPr>
      <w:rFonts w:ascii="Arial" w:eastAsia="Times New Roman" w:hAnsi="Arial" w:cs="Arial"/>
      <w:b/>
      <w:bCs/>
      <w:sz w:val="26"/>
      <w:szCs w:val="26"/>
      <w:lang w:eastAsia="hr-HR"/>
    </w:rPr>
  </w:style>
  <w:style w:type="paragraph" w:styleId="Podnoje">
    <w:name w:val="footer"/>
    <w:basedOn w:val="Normal"/>
    <w:link w:val="PodnojeChar"/>
    <w:rsid w:val="009243DA"/>
    <w:pPr>
      <w:tabs>
        <w:tab w:val="center" w:pos="4536"/>
        <w:tab w:val="right" w:pos="9072"/>
      </w:tabs>
    </w:pPr>
  </w:style>
  <w:style w:type="character" w:customStyle="1" w:styleId="PodnojeChar">
    <w:name w:val="Podnožje Char"/>
    <w:basedOn w:val="Zadanifontodlomka"/>
    <w:link w:val="Podnoje"/>
    <w:rsid w:val="009243DA"/>
    <w:rPr>
      <w:rFonts w:ascii="Times New Roman" w:eastAsia="Times New Roman" w:hAnsi="Times New Roman" w:cs="Times New Roman"/>
      <w:sz w:val="24"/>
      <w:szCs w:val="24"/>
      <w:lang w:eastAsia="hr-HR"/>
    </w:rPr>
  </w:style>
  <w:style w:type="character" w:styleId="Brojstranice">
    <w:name w:val="page number"/>
    <w:basedOn w:val="Zadanifontodlomka"/>
    <w:rsid w:val="009243DA"/>
  </w:style>
  <w:style w:type="paragraph" w:styleId="Tijeloteksta-uvlaka3">
    <w:name w:val="Body Text Indent 3"/>
    <w:aliases w:val=" uvlaka 3,uvlaka 3"/>
    <w:basedOn w:val="Normal"/>
    <w:link w:val="Tijeloteksta-uvlaka3Char"/>
    <w:uiPriority w:val="99"/>
    <w:rsid w:val="009243DA"/>
    <w:pPr>
      <w:spacing w:after="120"/>
      <w:ind w:left="283"/>
    </w:pPr>
    <w:rPr>
      <w:sz w:val="16"/>
      <w:szCs w:val="16"/>
    </w:rPr>
  </w:style>
  <w:style w:type="character" w:customStyle="1" w:styleId="Tijeloteksta-uvlaka3Char">
    <w:name w:val="Tijelo teksta - uvlaka 3 Char"/>
    <w:aliases w:val="uvlaka 3 Char"/>
    <w:basedOn w:val="Zadanifontodlomka"/>
    <w:link w:val="Tijeloteksta-uvlaka3"/>
    <w:uiPriority w:val="99"/>
    <w:rsid w:val="009243DA"/>
    <w:rPr>
      <w:rFonts w:ascii="Times New Roman" w:eastAsia="Times New Roman" w:hAnsi="Times New Roman" w:cs="Times New Roman"/>
      <w:sz w:val="16"/>
      <w:szCs w:val="16"/>
      <w:lang w:eastAsia="hr-HR"/>
    </w:rPr>
  </w:style>
  <w:style w:type="paragraph" w:styleId="Tekstbalonia">
    <w:name w:val="Balloon Text"/>
    <w:basedOn w:val="Normal"/>
    <w:link w:val="TekstbaloniaChar"/>
    <w:uiPriority w:val="99"/>
    <w:semiHidden/>
    <w:unhideWhenUsed/>
    <w:rsid w:val="009243DA"/>
    <w:rPr>
      <w:rFonts w:ascii="Tahoma" w:hAnsi="Tahoma" w:cs="Tahoma"/>
      <w:sz w:val="16"/>
      <w:szCs w:val="16"/>
    </w:rPr>
  </w:style>
  <w:style w:type="character" w:customStyle="1" w:styleId="TekstbaloniaChar">
    <w:name w:val="Tekst balončića Char"/>
    <w:basedOn w:val="Zadanifontodlomka"/>
    <w:link w:val="Tekstbalonia"/>
    <w:uiPriority w:val="99"/>
    <w:semiHidden/>
    <w:rsid w:val="009243D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DA"/>
    <w:pPr>
      <w:spacing w:after="0" w:line="240" w:lineRule="auto"/>
      <w:jc w:val="both"/>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uiPriority w:val="99"/>
    <w:qFormat/>
    <w:rsid w:val="009243DA"/>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9"/>
    <w:rsid w:val="009243DA"/>
    <w:rPr>
      <w:rFonts w:ascii="Arial" w:eastAsia="Times New Roman" w:hAnsi="Arial" w:cs="Arial"/>
      <w:b/>
      <w:bCs/>
      <w:sz w:val="26"/>
      <w:szCs w:val="26"/>
      <w:lang w:eastAsia="hr-HR"/>
    </w:rPr>
  </w:style>
  <w:style w:type="paragraph" w:styleId="Podnoje">
    <w:name w:val="footer"/>
    <w:basedOn w:val="Normal"/>
    <w:link w:val="PodnojeChar"/>
    <w:rsid w:val="009243DA"/>
    <w:pPr>
      <w:tabs>
        <w:tab w:val="center" w:pos="4536"/>
        <w:tab w:val="right" w:pos="9072"/>
      </w:tabs>
    </w:pPr>
  </w:style>
  <w:style w:type="character" w:customStyle="1" w:styleId="PodnojeChar">
    <w:name w:val="Podnožje Char"/>
    <w:basedOn w:val="Zadanifontodlomka"/>
    <w:link w:val="Podnoje"/>
    <w:rsid w:val="009243DA"/>
    <w:rPr>
      <w:rFonts w:ascii="Times New Roman" w:eastAsia="Times New Roman" w:hAnsi="Times New Roman" w:cs="Times New Roman"/>
      <w:sz w:val="24"/>
      <w:szCs w:val="24"/>
      <w:lang w:eastAsia="hr-HR"/>
    </w:rPr>
  </w:style>
  <w:style w:type="character" w:styleId="Brojstranice">
    <w:name w:val="page number"/>
    <w:basedOn w:val="Zadanifontodlomka"/>
    <w:rsid w:val="009243DA"/>
  </w:style>
  <w:style w:type="paragraph" w:styleId="Tijeloteksta-uvlaka3">
    <w:name w:val="Body Text Indent 3"/>
    <w:aliases w:val=" uvlaka 3,uvlaka 3"/>
    <w:basedOn w:val="Normal"/>
    <w:link w:val="Tijeloteksta-uvlaka3Char"/>
    <w:uiPriority w:val="99"/>
    <w:rsid w:val="009243DA"/>
    <w:pPr>
      <w:spacing w:after="120"/>
      <w:ind w:left="283"/>
    </w:pPr>
    <w:rPr>
      <w:sz w:val="16"/>
      <w:szCs w:val="16"/>
    </w:rPr>
  </w:style>
  <w:style w:type="character" w:customStyle="1" w:styleId="Tijeloteksta-uvlaka3Char">
    <w:name w:val="Tijelo teksta - uvlaka 3 Char"/>
    <w:aliases w:val="uvlaka 3 Char"/>
    <w:basedOn w:val="Zadanifontodlomka"/>
    <w:link w:val="Tijeloteksta-uvlaka3"/>
    <w:uiPriority w:val="99"/>
    <w:rsid w:val="009243DA"/>
    <w:rPr>
      <w:rFonts w:ascii="Times New Roman" w:eastAsia="Times New Roman" w:hAnsi="Times New Roman" w:cs="Times New Roman"/>
      <w:sz w:val="16"/>
      <w:szCs w:val="16"/>
      <w:lang w:eastAsia="hr-HR"/>
    </w:rPr>
  </w:style>
  <w:style w:type="paragraph" w:styleId="Tekstbalonia">
    <w:name w:val="Balloon Text"/>
    <w:basedOn w:val="Normal"/>
    <w:link w:val="TekstbaloniaChar"/>
    <w:uiPriority w:val="99"/>
    <w:semiHidden/>
    <w:unhideWhenUsed/>
    <w:rsid w:val="009243DA"/>
    <w:rPr>
      <w:rFonts w:ascii="Tahoma" w:hAnsi="Tahoma" w:cs="Tahoma"/>
      <w:sz w:val="16"/>
      <w:szCs w:val="16"/>
    </w:rPr>
  </w:style>
  <w:style w:type="character" w:customStyle="1" w:styleId="TekstbaloniaChar">
    <w:name w:val="Tekst balončića Char"/>
    <w:basedOn w:val="Zadanifontodlomka"/>
    <w:link w:val="Tekstbalonia"/>
    <w:uiPriority w:val="99"/>
    <w:semiHidden/>
    <w:rsid w:val="009243D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charts/_rels/chart1.xml.rels><?xml version="1.0" encoding="UTF-8" standalone="yes"?>
<Relationships xmlns="http://schemas.openxmlformats.org/package/2006/relationships"><Relationship Id="rId3" Type="http://schemas.openxmlformats.org/officeDocument/2006/relationships/oleObject" Target="file:///\\mf20\Izvr&#353;enje\IZVJE&#352;TAJI%20O%20IZVR&#352;ENJU%20DR&#381;AVNOG%20PRORA&#268;UNA\polugodi&#353;nji%202015\tablice%20rashodi\tablice%20I-VI%202015(1).xls" TargetMode="External"/><Relationship Id="rId2" Type="http://schemas.openxmlformats.org/officeDocument/2006/relationships/image" Target="../media/image7.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2430680801771296E-2"/>
          <c:y val="0.10790287537621278"/>
          <c:w val="0.53663866039091479"/>
          <c:h val="0.80840914789297014"/>
        </c:manualLayout>
      </c:layout>
      <c:pie3DChart>
        <c:varyColors val="1"/>
        <c:ser>
          <c:idx val="0"/>
          <c:order val="0"/>
          <c:dPt>
            <c:idx val="0"/>
            <c:bubble3D val="0"/>
            <c:spPr>
              <a:blipFill>
                <a:blip xmlns:r="http://schemas.openxmlformats.org/officeDocument/2006/relationships" r:embed="rId2"/>
                <a:tile tx="0" ty="0" sx="100000" sy="100000" flip="none" algn="tl"/>
              </a:blipFill>
            </c:spPr>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4"/>
              <c:layout>
                <c:manualLayout>
                  <c:x val="-2.724306252043143E-3"/>
                  <c:y val="2.3346007217008805E-2"/>
                </c:manualLayout>
              </c:layout>
              <c:showLegendKey val="1"/>
              <c:showVal val="1"/>
              <c:showCatName val="1"/>
              <c:showSerName val="0"/>
              <c:showPercent val="0"/>
              <c:showBubbleSize val="0"/>
            </c:dLbl>
            <c:dLbl>
              <c:idx val="5"/>
              <c:layout>
                <c:manualLayout>
                  <c:x val="1.5624175450290935E-2"/>
                  <c:y val="0.10680323365984132"/>
                </c:manualLayout>
              </c:layout>
              <c:tx>
                <c:rich>
                  <a:bodyPr/>
                  <a:lstStyle/>
                  <a:p>
                    <a:r>
                      <a:rPr lang="vi-VN"/>
                      <a:t>Usluge unapređenja stanovanja i zajednice; 1,07%</a:t>
                    </a:r>
                  </a:p>
                </c:rich>
              </c:tx>
              <c:showLegendKey val="1"/>
              <c:showVal val="0"/>
              <c:showCatName val="0"/>
              <c:showSerName val="0"/>
              <c:showPercent val="0"/>
              <c:showBubbleSize val="0"/>
            </c:dLbl>
            <c:showLegendKey val="1"/>
            <c:showVal val="1"/>
            <c:showCatName val="1"/>
            <c:showSerName val="0"/>
            <c:showPercent val="0"/>
            <c:showBubbleSize val="0"/>
            <c:showLeaderLines val="0"/>
          </c:dLbls>
          <c:cat>
            <c:strRef>
              <c:f>graf!$B$4:$B$13</c:f>
              <c:strCache>
                <c:ptCount val="10"/>
                <c:pt idx="0">
                  <c:v>Opće javne usluge</c:v>
                </c:pt>
                <c:pt idx="1">
                  <c:v>Obrana</c:v>
                </c:pt>
                <c:pt idx="2">
                  <c:v>Javni red i sigurnost</c:v>
                </c:pt>
                <c:pt idx="3">
                  <c:v>Ekonomski poslovi</c:v>
                </c:pt>
                <c:pt idx="4">
                  <c:v>Zaštita okoliša</c:v>
                </c:pt>
                <c:pt idx="5">
                  <c:v>Usluge unapređenja stanovanja i zajednice</c:v>
                </c:pt>
                <c:pt idx="6">
                  <c:v>Zdravstvo</c:v>
                </c:pt>
                <c:pt idx="7">
                  <c:v>Rekreacija, kultura i religija</c:v>
                </c:pt>
                <c:pt idx="8">
                  <c:v>Obrazovanje</c:v>
                </c:pt>
                <c:pt idx="9">
                  <c:v>Socijalna zaštita</c:v>
                </c:pt>
              </c:strCache>
            </c:strRef>
          </c:cat>
          <c:val>
            <c:numRef>
              <c:f>graf!$D$4:$D$13</c:f>
              <c:numCache>
                <c:formatCode>0.00%</c:formatCode>
                <c:ptCount val="10"/>
                <c:pt idx="0">
                  <c:v>0.18658133655209816</c:v>
                </c:pt>
                <c:pt idx="1">
                  <c:v>3.1405384314603109E-2</c:v>
                </c:pt>
                <c:pt idx="2">
                  <c:v>6.0255771537375984E-2</c:v>
                </c:pt>
                <c:pt idx="3">
                  <c:v>0.12919894354966682</c:v>
                </c:pt>
                <c:pt idx="4">
                  <c:v>4.6242098883122551E-3</c:v>
                </c:pt>
                <c:pt idx="5">
                  <c:v>8.1166409008396768E-3</c:v>
                </c:pt>
                <c:pt idx="6">
                  <c:v>7.2314998150488474E-2</c:v>
                </c:pt>
                <c:pt idx="7">
                  <c:v>1.5068505459011757E-2</c:v>
                </c:pt>
                <c:pt idx="8">
                  <c:v>9.7099615858768695E-2</c:v>
                </c:pt>
                <c:pt idx="9">
                  <c:v>0.39533459378883501</c:v>
                </c:pt>
              </c:numCache>
            </c:numRef>
          </c:val>
        </c:ser>
        <c:ser>
          <c:idx val="1"/>
          <c:order val="1"/>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cat>
            <c:strRef>
              <c:f>graf!$B$4:$B$13</c:f>
              <c:strCache>
                <c:ptCount val="10"/>
                <c:pt idx="0">
                  <c:v>Opće javne usluge</c:v>
                </c:pt>
                <c:pt idx="1">
                  <c:v>Obrana</c:v>
                </c:pt>
                <c:pt idx="2">
                  <c:v>Javni red i sigurnost</c:v>
                </c:pt>
                <c:pt idx="3">
                  <c:v>Ekonomski poslovi</c:v>
                </c:pt>
                <c:pt idx="4">
                  <c:v>Zaštita okoliša</c:v>
                </c:pt>
                <c:pt idx="5">
                  <c:v>Usluge unapređenja stanovanja i zajednice</c:v>
                </c:pt>
                <c:pt idx="6">
                  <c:v>Zdravstvo</c:v>
                </c:pt>
                <c:pt idx="7">
                  <c:v>Rekreacija, kultura i religija</c:v>
                </c:pt>
                <c:pt idx="8">
                  <c:v>Obrazovanje</c:v>
                </c:pt>
                <c:pt idx="9">
                  <c:v>Socijalna zaštita</c:v>
                </c:pt>
              </c:strCache>
            </c:strRef>
          </c:cat>
          <c:val>
            <c:numLit>
              <c:formatCode>General</c:formatCode>
              <c:ptCount val="1"/>
              <c:pt idx="0">
                <c:v>1</c:v>
              </c:pt>
            </c:numLit>
          </c:val>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r-Latn-R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13</Pages>
  <Words>2700</Words>
  <Characters>15396</Characters>
  <Application>Microsoft Office Word</Application>
  <DocSecurity>0</DocSecurity>
  <Lines>128</Lines>
  <Paragraphs>36</Paragraphs>
  <ScaleCrop>false</ScaleCrop>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1</cp:revision>
  <dcterms:created xsi:type="dcterms:W3CDTF">2015-10-30T14:38:00Z</dcterms:created>
  <dcterms:modified xsi:type="dcterms:W3CDTF">2015-10-30T14:38:00Z</dcterms:modified>
</cp:coreProperties>
</file>