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7" w:rsidRPr="00EE46B7" w:rsidRDefault="00EE46B7" w:rsidP="00CB76E2">
      <w:pPr>
        <w:spacing w:before="0"/>
        <w:ind w:left="0"/>
        <w:jc w:val="center"/>
        <w:rPr>
          <w:b/>
          <w:bCs/>
          <w:sz w:val="28"/>
          <w:lang w:val="hr-HR" w:eastAsia="hr-HR"/>
        </w:rPr>
      </w:pPr>
      <w:r w:rsidRPr="00EE46B7">
        <w:rPr>
          <w:b/>
          <w:bCs/>
          <w:sz w:val="28"/>
          <w:lang w:val="hr-HR" w:eastAsia="hr-HR"/>
        </w:rPr>
        <w:t>POLUGODIŠNJI IZVJEŠTAJ O PRIMJENI FISKALNIH PRAVILA</w:t>
      </w:r>
      <w:r w:rsidR="00465162">
        <w:rPr>
          <w:b/>
          <w:bCs/>
          <w:sz w:val="28"/>
          <w:lang w:val="hr-HR" w:eastAsia="hr-HR"/>
        </w:rPr>
        <w:t xml:space="preserve"> </w:t>
      </w:r>
      <w:r w:rsidR="00E709D9">
        <w:rPr>
          <w:b/>
          <w:bCs/>
          <w:sz w:val="28"/>
          <w:lang w:val="hr-HR" w:eastAsia="hr-HR"/>
        </w:rPr>
        <w:t>ZA</w:t>
      </w:r>
      <w:r w:rsidR="00465162">
        <w:rPr>
          <w:b/>
          <w:bCs/>
          <w:sz w:val="28"/>
          <w:lang w:val="hr-HR" w:eastAsia="hr-HR"/>
        </w:rPr>
        <w:t xml:space="preserve"> PRVO POLUGODIŠT</w:t>
      </w:r>
      <w:r w:rsidR="00E709D9">
        <w:rPr>
          <w:b/>
          <w:bCs/>
          <w:sz w:val="28"/>
          <w:lang w:val="hr-HR" w:eastAsia="hr-HR"/>
        </w:rPr>
        <w:t>E</w:t>
      </w:r>
      <w:bookmarkStart w:id="0" w:name="_GoBack"/>
      <w:bookmarkEnd w:id="0"/>
      <w:r w:rsidR="00465162">
        <w:rPr>
          <w:b/>
          <w:bCs/>
          <w:sz w:val="28"/>
          <w:lang w:val="hr-HR" w:eastAsia="hr-HR"/>
        </w:rPr>
        <w:t xml:space="preserve"> 2016. GODINE</w:t>
      </w:r>
    </w:p>
    <w:p w:rsidR="00EE46B7" w:rsidRPr="00EE46B7" w:rsidRDefault="00EE46B7" w:rsidP="00DE73A5">
      <w:pPr>
        <w:spacing w:after="120"/>
        <w:ind w:left="0"/>
        <w:rPr>
          <w:lang w:val="hr-HR"/>
        </w:rPr>
      </w:pPr>
    </w:p>
    <w:p w:rsidR="00DE73A5" w:rsidRPr="00EE46B7" w:rsidRDefault="00EE46B7" w:rsidP="00DE73A5">
      <w:pPr>
        <w:spacing w:after="120"/>
        <w:ind w:left="0"/>
        <w:rPr>
          <w:lang w:val="hr-HR"/>
        </w:rPr>
      </w:pPr>
      <w:r w:rsidRPr="00EE46B7">
        <w:rPr>
          <w:lang w:val="hr-HR"/>
        </w:rPr>
        <w:t>P</w:t>
      </w:r>
      <w:r w:rsidR="00DE73A5" w:rsidRPr="00EE46B7">
        <w:rPr>
          <w:lang w:val="hr-HR"/>
        </w:rPr>
        <w:t xml:space="preserve">olugodišnji izvještaj o primjeni fiskalnih pravila dostavlja se uz polugodišnji izvještaj o izvršenju državnog proračuna. Uredbom o sastavljanju i predaji izjave o fiskalnoj odgovornosti i izvještaja o primjeni fiskalnih pravila, propisuje se oblik i sadržaj izvještaja o primjeni fiskalnih pravila. </w:t>
      </w:r>
    </w:p>
    <w:p w:rsidR="00DE73A5" w:rsidRPr="00EE46B7" w:rsidRDefault="00DE73A5" w:rsidP="00DE73A5">
      <w:pPr>
        <w:rPr>
          <w:lang w:val="hr-HR"/>
        </w:rPr>
      </w:pPr>
    </w:p>
    <w:p w:rsidR="00DE73A5" w:rsidRPr="00EE46B7" w:rsidRDefault="00DE73A5" w:rsidP="00DE73A5">
      <w:pPr>
        <w:spacing w:after="120"/>
        <w:ind w:left="0"/>
        <w:rPr>
          <w:lang w:val="hr-HR"/>
        </w:rPr>
      </w:pPr>
      <w:r w:rsidRPr="00EE46B7">
        <w:rPr>
          <w:lang w:val="hr-HR"/>
        </w:rPr>
        <w:t>Polugodišnji izvještaj o primjeni fiskalnih pravila treba sadržavati:</w:t>
      </w:r>
    </w:p>
    <w:p w:rsidR="00DE73A5" w:rsidRPr="00EE46B7" w:rsidRDefault="00DE73A5" w:rsidP="00DE73A5">
      <w:pPr>
        <w:rPr>
          <w:lang w:val="hr-HR"/>
        </w:rPr>
      </w:pPr>
    </w:p>
    <w:p w:rsidR="00DE73A5" w:rsidRPr="00EE46B7" w:rsidRDefault="00DE73A5" w:rsidP="00DE73A5">
      <w:pPr>
        <w:tabs>
          <w:tab w:val="left" w:pos="709"/>
        </w:tabs>
        <w:ind w:left="709" w:hanging="709"/>
        <w:rPr>
          <w:lang w:val="hr-HR"/>
        </w:rPr>
      </w:pPr>
      <w:r w:rsidRPr="00EE46B7">
        <w:rPr>
          <w:lang w:val="hr-HR"/>
        </w:rPr>
        <w:t>–</w:t>
      </w:r>
      <w:r w:rsidRPr="00EE46B7">
        <w:rPr>
          <w:lang w:val="hr-HR"/>
        </w:rPr>
        <w:tab/>
        <w:t>projekciju nominalnog i realnog BDP-a i projekciju inflacije koje su bile ishodište za izradu državnog proračuna za tekuću proračunsku godinu,</w:t>
      </w:r>
    </w:p>
    <w:p w:rsidR="00DE73A5" w:rsidRPr="00EE46B7" w:rsidRDefault="00DE73A5" w:rsidP="00DE73A5">
      <w:pPr>
        <w:ind w:firstLine="709"/>
        <w:rPr>
          <w:lang w:val="hr-HR"/>
        </w:rPr>
      </w:pPr>
    </w:p>
    <w:p w:rsidR="00DE73A5" w:rsidRPr="00EE46B7" w:rsidRDefault="00DE73A5" w:rsidP="00DE73A5">
      <w:pPr>
        <w:ind w:left="709" w:hanging="709"/>
        <w:rPr>
          <w:lang w:val="hr-HR"/>
        </w:rPr>
      </w:pPr>
      <w:r w:rsidRPr="00EE46B7">
        <w:rPr>
          <w:lang w:val="hr-HR"/>
        </w:rPr>
        <w:t>–</w:t>
      </w:r>
      <w:r w:rsidRPr="00EE46B7">
        <w:rPr>
          <w:lang w:val="hr-HR"/>
        </w:rPr>
        <w:tab/>
        <w:t>nove projekcije nominalnog i realnog BDP-a te projekciju inflacije, ako su projekcije objavljene u smjernicama ekonomske i fiskalne politike za trogodišnje razdoblje ili u drugim odgovarajućim dokumentima koje usvaja Vlada,</w:t>
      </w:r>
    </w:p>
    <w:p w:rsidR="00DE73A5" w:rsidRPr="00EE46B7" w:rsidRDefault="00DE73A5" w:rsidP="00DE73A5">
      <w:pPr>
        <w:ind w:firstLine="709"/>
        <w:rPr>
          <w:lang w:val="hr-HR"/>
        </w:rPr>
      </w:pPr>
    </w:p>
    <w:p w:rsidR="00DE73A5" w:rsidRPr="00EE46B7" w:rsidRDefault="00DE73A5" w:rsidP="00DE73A5">
      <w:pPr>
        <w:ind w:left="709" w:hanging="709"/>
        <w:rPr>
          <w:lang w:val="hr-HR"/>
        </w:rPr>
      </w:pPr>
      <w:r w:rsidRPr="00EE46B7">
        <w:rPr>
          <w:lang w:val="hr-HR"/>
        </w:rPr>
        <w:t>–</w:t>
      </w:r>
      <w:r w:rsidRPr="00EE46B7">
        <w:rPr>
          <w:lang w:val="hr-HR"/>
        </w:rPr>
        <w:tab/>
        <w:t>podatke o ostvarenjima BDP-a i inflacije te ostalih makroekonomskih pokazatelja koji upućuju na trendove u gospodarskoj aktivnosti (industrijska proizvodnja, promet u trgovini na malo, indeks građevinskih radova, turistički dolasci i noćenja te robni izvoz i uvoz) u prvom polugodištu tekuće proračunske godine te</w:t>
      </w:r>
    </w:p>
    <w:p w:rsidR="00DE73A5" w:rsidRPr="00EE46B7" w:rsidRDefault="00DE73A5" w:rsidP="00DE73A5">
      <w:pPr>
        <w:ind w:firstLine="709"/>
        <w:rPr>
          <w:lang w:val="hr-HR"/>
        </w:rPr>
      </w:pPr>
    </w:p>
    <w:p w:rsidR="00DE73A5" w:rsidRPr="00EE46B7" w:rsidRDefault="00DE73A5" w:rsidP="00DE73A5">
      <w:pPr>
        <w:ind w:left="709" w:hanging="709"/>
        <w:rPr>
          <w:lang w:val="hr-HR"/>
        </w:rPr>
      </w:pPr>
      <w:r w:rsidRPr="00EE46B7">
        <w:rPr>
          <w:lang w:val="hr-HR"/>
        </w:rPr>
        <w:t>–</w:t>
      </w:r>
      <w:r w:rsidRPr="00EE46B7">
        <w:rPr>
          <w:lang w:val="hr-HR"/>
        </w:rPr>
        <w:tab/>
        <w:t>opis rizika zadovoljenja fiskalnog pravila za tekuću proračunsku godinu.</w:t>
      </w:r>
    </w:p>
    <w:p w:rsidR="00DE73A5" w:rsidRPr="00EE46B7" w:rsidRDefault="00DE73A5" w:rsidP="001C1D83">
      <w:pPr>
        <w:spacing w:after="120"/>
        <w:ind w:left="284" w:hanging="284"/>
        <w:rPr>
          <w:b/>
          <w:color w:val="000000"/>
          <w:lang w:val="hr-HR"/>
        </w:rPr>
      </w:pPr>
    </w:p>
    <w:p w:rsidR="00DE73A5" w:rsidRPr="00EE46B7" w:rsidRDefault="00DE73A5" w:rsidP="001C1D83">
      <w:pPr>
        <w:spacing w:after="120"/>
        <w:ind w:left="284" w:hanging="284"/>
        <w:rPr>
          <w:b/>
          <w:color w:val="000000"/>
          <w:lang w:val="hr-HR"/>
        </w:rPr>
      </w:pPr>
    </w:p>
    <w:p w:rsidR="001C1D83" w:rsidRPr="00EE46B7" w:rsidRDefault="001C1D83" w:rsidP="001C1D83">
      <w:pPr>
        <w:spacing w:after="120"/>
        <w:ind w:left="284" w:hanging="284"/>
        <w:rPr>
          <w:b/>
          <w:color w:val="000000"/>
          <w:lang w:val="hr-HR"/>
        </w:rPr>
      </w:pPr>
      <w:r w:rsidRPr="00EE46B7">
        <w:rPr>
          <w:b/>
          <w:color w:val="000000"/>
          <w:lang w:val="hr-HR"/>
        </w:rPr>
        <w:t>1. Projekcije nominalnog i realnog bruto domaćeg proizvoda te projekcije inflacije za 2016. godinu</w:t>
      </w:r>
    </w:p>
    <w:p w:rsidR="001C1D83" w:rsidRPr="00EE46B7" w:rsidRDefault="001C1D83" w:rsidP="001C1D83">
      <w:pPr>
        <w:spacing w:after="120"/>
        <w:ind w:left="0"/>
        <w:rPr>
          <w:lang w:val="hr-HR"/>
        </w:rPr>
      </w:pPr>
      <w:r w:rsidRPr="00EE46B7">
        <w:rPr>
          <w:lang w:val="hr-HR"/>
        </w:rPr>
        <w:t xml:space="preserve">Prilikom izrade plana državnog proračuna i financijskih planova izvanproračunskih korisnika za 2016. godinu projicirana je realna stopa rasta bruto domaćeg proizvoda od 2,0% te prosječna stopa inflacije od 0,1%, dok projekcija bruto domaćeg proizvoda u tekućim cijenama iznosi 344,3 milijarde kuna. </w:t>
      </w:r>
    </w:p>
    <w:p w:rsidR="006B783C" w:rsidRDefault="006B783C" w:rsidP="001C1D83">
      <w:pPr>
        <w:spacing w:after="120"/>
        <w:ind w:left="0"/>
        <w:rPr>
          <w:i/>
          <w:lang w:val="hr-HR"/>
        </w:rPr>
      </w:pPr>
    </w:p>
    <w:p w:rsidR="001C1D83" w:rsidRPr="00EE46B7" w:rsidRDefault="001C1D83" w:rsidP="001C1D83">
      <w:pPr>
        <w:spacing w:after="120"/>
        <w:ind w:left="0"/>
        <w:rPr>
          <w:i/>
          <w:lang w:val="hr-HR"/>
        </w:rPr>
      </w:pPr>
      <w:r w:rsidRPr="00EE46B7">
        <w:rPr>
          <w:i/>
          <w:lang w:val="hr-HR"/>
        </w:rPr>
        <w:t xml:space="preserve">Tablica 1: Projekcije bruto domaćeg proizvoda i inflacije za 2016. </w:t>
      </w:r>
    </w:p>
    <w:p w:rsidR="001C1D83" w:rsidRPr="00EE46B7" w:rsidRDefault="001C1D83" w:rsidP="001C1D83">
      <w:pPr>
        <w:spacing w:after="120"/>
        <w:ind w:left="0"/>
        <w:rPr>
          <w:lang w:val="hr-HR"/>
        </w:rPr>
      </w:pPr>
      <w:r w:rsidRPr="00EE46B7">
        <w:rPr>
          <w:noProof/>
          <w:lang w:val="hr-HR" w:eastAsia="hr-HR"/>
        </w:rPr>
        <w:drawing>
          <wp:inline distT="0" distB="0" distL="0" distR="0" wp14:anchorId="6C801CB5" wp14:editId="09DA36AE">
            <wp:extent cx="4191000" cy="838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83" w:rsidRPr="00EE46B7" w:rsidRDefault="001C1D83" w:rsidP="001C1D83">
      <w:pPr>
        <w:spacing w:after="120"/>
        <w:ind w:left="0"/>
        <w:rPr>
          <w:i/>
          <w:lang w:val="hr-HR"/>
        </w:rPr>
      </w:pPr>
      <w:r w:rsidRPr="00EE46B7">
        <w:rPr>
          <w:i/>
          <w:lang w:val="hr-HR"/>
        </w:rPr>
        <w:t>Izvor: Ministarstvo financija</w:t>
      </w:r>
    </w:p>
    <w:p w:rsidR="001C1D83" w:rsidRDefault="001C1D83" w:rsidP="001C1D83">
      <w:pPr>
        <w:pStyle w:val="t-9-8"/>
        <w:spacing w:before="0" w:beforeAutospacing="0" w:after="0" w:afterAutospacing="0"/>
        <w:jc w:val="both"/>
        <w:rPr>
          <w:b/>
          <w:color w:val="000000"/>
          <w:highlight w:val="yellow"/>
        </w:rPr>
      </w:pPr>
    </w:p>
    <w:p w:rsidR="006B783C" w:rsidRDefault="006B783C" w:rsidP="001C1D83">
      <w:pPr>
        <w:pStyle w:val="t-9-8"/>
        <w:spacing w:before="0" w:beforeAutospacing="0" w:after="0" w:afterAutospacing="0"/>
        <w:jc w:val="both"/>
        <w:rPr>
          <w:b/>
          <w:color w:val="000000"/>
          <w:highlight w:val="yellow"/>
        </w:rPr>
      </w:pPr>
    </w:p>
    <w:p w:rsidR="00EE46B7" w:rsidRPr="00EE46B7" w:rsidRDefault="00EE46B7" w:rsidP="001C1D83">
      <w:pPr>
        <w:pStyle w:val="t-9-8"/>
        <w:spacing w:before="0" w:beforeAutospacing="0" w:after="0" w:afterAutospacing="0"/>
        <w:jc w:val="both"/>
        <w:rPr>
          <w:b/>
          <w:color w:val="000000"/>
          <w:highlight w:val="yellow"/>
        </w:rPr>
      </w:pPr>
    </w:p>
    <w:p w:rsidR="001C1D83" w:rsidRPr="00EE46B7" w:rsidRDefault="001C1D83" w:rsidP="001C1D83">
      <w:pPr>
        <w:spacing w:after="120"/>
        <w:ind w:left="284" w:hanging="284"/>
        <w:rPr>
          <w:b/>
          <w:i/>
          <w:lang w:val="hr-HR"/>
        </w:rPr>
      </w:pPr>
      <w:r w:rsidRPr="00EE46B7">
        <w:rPr>
          <w:b/>
          <w:color w:val="000000"/>
          <w:lang w:val="hr-HR"/>
        </w:rPr>
        <w:t>2. Podaci o ostvarenjima BDP-a i inflacije te ostalih makroekonomskih pokazatelja koji upućuju na trendove u gospodarskoj aktivnosti</w:t>
      </w:r>
    </w:p>
    <w:p w:rsidR="006B783C" w:rsidRDefault="006B783C" w:rsidP="001C1D83">
      <w:pPr>
        <w:spacing w:after="120"/>
        <w:ind w:left="0"/>
        <w:rPr>
          <w:i/>
          <w:lang w:val="hr-HR"/>
        </w:rPr>
      </w:pPr>
    </w:p>
    <w:p w:rsidR="001C1D83" w:rsidRPr="00EE46B7" w:rsidRDefault="001C1D83" w:rsidP="001C1D83">
      <w:pPr>
        <w:spacing w:after="120"/>
        <w:ind w:left="0"/>
        <w:rPr>
          <w:i/>
          <w:lang w:val="hr-HR"/>
        </w:rPr>
      </w:pPr>
      <w:r w:rsidRPr="00EE46B7">
        <w:rPr>
          <w:i/>
          <w:lang w:val="hr-HR"/>
        </w:rPr>
        <w:t xml:space="preserve">Tablica 2: Ostvarenja osnovnih makroekonomskih pokazatelja u prvom polugodištu 2016. </w:t>
      </w:r>
    </w:p>
    <w:p w:rsidR="001C1D83" w:rsidRPr="00EE46B7" w:rsidRDefault="00295F35" w:rsidP="001C1D83">
      <w:pPr>
        <w:spacing w:after="120"/>
        <w:ind w:left="0"/>
        <w:rPr>
          <w:lang w:val="hr-HR"/>
        </w:rPr>
      </w:pPr>
      <w:r w:rsidRPr="00295F35">
        <w:rPr>
          <w:noProof/>
          <w:lang w:val="hr-HR" w:eastAsia="hr-HR"/>
        </w:rPr>
        <w:drawing>
          <wp:inline distT="0" distB="0" distL="0" distR="0">
            <wp:extent cx="4191000" cy="2371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83" w:rsidRDefault="001C1D83" w:rsidP="001C1D83">
      <w:pPr>
        <w:spacing w:after="120"/>
        <w:ind w:left="0"/>
        <w:rPr>
          <w:i/>
          <w:lang w:val="hr-HR"/>
        </w:rPr>
      </w:pPr>
      <w:r w:rsidRPr="00EE46B7">
        <w:rPr>
          <w:i/>
          <w:lang w:val="hr-HR"/>
        </w:rPr>
        <w:t>Izvor: Državni zavod za statistiku, Hrvatska narodna banka</w:t>
      </w:r>
    </w:p>
    <w:p w:rsidR="00EE46B7" w:rsidRPr="00EE46B7" w:rsidRDefault="00EE46B7" w:rsidP="001C1D83">
      <w:pPr>
        <w:spacing w:after="120"/>
        <w:ind w:left="0"/>
        <w:rPr>
          <w:i/>
          <w:lang w:val="hr-HR"/>
        </w:rPr>
      </w:pPr>
    </w:p>
    <w:p w:rsidR="00EE46B7" w:rsidRDefault="00EE46B7">
      <w:pPr>
        <w:rPr>
          <w:lang w:val="hr-HR"/>
        </w:rPr>
      </w:pPr>
    </w:p>
    <w:p w:rsidR="00EE46B7" w:rsidRDefault="00EE46B7" w:rsidP="00EE46B7">
      <w:pPr>
        <w:spacing w:before="0" w:after="120"/>
        <w:ind w:left="0"/>
        <w:rPr>
          <w:b/>
          <w:color w:val="000000"/>
          <w:lang w:val="hr-HR" w:eastAsia="hr-HR"/>
        </w:rPr>
      </w:pPr>
      <w:r w:rsidRPr="00EE46B7">
        <w:rPr>
          <w:b/>
          <w:color w:val="000000"/>
          <w:lang w:val="hr-HR" w:eastAsia="hr-HR"/>
        </w:rPr>
        <w:t>3. Opis rizika zadovoljenja fiskalnog pravila za tekuću proračunsku godinu</w:t>
      </w:r>
    </w:p>
    <w:p w:rsidR="00EE46B7" w:rsidRDefault="00C97E89" w:rsidP="00920990">
      <w:pPr>
        <w:spacing w:after="120"/>
        <w:ind w:left="0"/>
        <w:rPr>
          <w:lang w:val="hr-HR"/>
        </w:rPr>
      </w:pPr>
      <w:r>
        <w:rPr>
          <w:lang w:val="hr-HR"/>
        </w:rPr>
        <w:t>M</w:t>
      </w:r>
      <w:r w:rsidRPr="00C97E89">
        <w:rPr>
          <w:lang w:val="hr-HR"/>
        </w:rPr>
        <w:t xml:space="preserve">anjak državnog proračuna </w:t>
      </w:r>
      <w:r w:rsidR="00465612">
        <w:rPr>
          <w:lang w:val="hr-HR"/>
        </w:rPr>
        <w:t xml:space="preserve">za 2016. godinu </w:t>
      </w:r>
      <w:r w:rsidRPr="00C97E89">
        <w:rPr>
          <w:lang w:val="hr-HR"/>
        </w:rPr>
        <w:t xml:space="preserve">planiran </w:t>
      </w:r>
      <w:r>
        <w:rPr>
          <w:lang w:val="hr-HR"/>
        </w:rPr>
        <w:t xml:space="preserve">je </w:t>
      </w:r>
      <w:r w:rsidRPr="00C97E89">
        <w:rPr>
          <w:lang w:val="hr-HR"/>
        </w:rPr>
        <w:t>u iznosu od 7,5 milijardi kuna ili 2,</w:t>
      </w:r>
      <w:proofErr w:type="spellStart"/>
      <w:r w:rsidRPr="00C97E89">
        <w:rPr>
          <w:lang w:val="hr-HR"/>
        </w:rPr>
        <w:t>2</w:t>
      </w:r>
      <w:proofErr w:type="spellEnd"/>
      <w:r w:rsidRPr="00C97E89">
        <w:rPr>
          <w:lang w:val="hr-HR"/>
        </w:rPr>
        <w:t xml:space="preserve">% BDP-a. Manjak izvanproračunskih korisnika projiciran je u iznosu od 1,2 milijarde kuna ili 0,4% BDP-a, a manjak lokalnih jedinica u iznosu od 507 milijuna kuna ili 0,1% BDP-a. </w:t>
      </w:r>
      <w:r>
        <w:rPr>
          <w:lang w:val="hr-HR"/>
        </w:rPr>
        <w:t xml:space="preserve">Time je </w:t>
      </w:r>
      <w:r w:rsidRPr="006730D1">
        <w:rPr>
          <w:lang w:val="hr-HR"/>
        </w:rPr>
        <w:t xml:space="preserve">ukupni manjak općeg proračuna prema nacionalnoj metodologiji </w:t>
      </w:r>
      <w:r>
        <w:rPr>
          <w:lang w:val="hr-HR"/>
        </w:rPr>
        <w:t>projiciran u iznosu od</w:t>
      </w:r>
      <w:r w:rsidRPr="006730D1">
        <w:rPr>
          <w:lang w:val="hr-HR"/>
        </w:rPr>
        <w:t xml:space="preserve"> 9,2 milijarde kuna ili 2,7% BDP-a</w:t>
      </w:r>
      <w:r>
        <w:rPr>
          <w:lang w:val="hr-HR"/>
        </w:rPr>
        <w:t xml:space="preserve">, </w:t>
      </w:r>
      <w:r w:rsidRPr="006730D1">
        <w:rPr>
          <w:lang w:val="hr-HR"/>
        </w:rPr>
        <w:t xml:space="preserve">čime </w:t>
      </w:r>
      <w:r>
        <w:rPr>
          <w:lang w:val="hr-HR"/>
        </w:rPr>
        <w:t>se</w:t>
      </w:r>
      <w:r w:rsidRPr="006730D1">
        <w:rPr>
          <w:lang w:val="hr-HR"/>
        </w:rPr>
        <w:t xml:space="preserve"> </w:t>
      </w:r>
      <w:r>
        <w:rPr>
          <w:lang w:val="hr-HR"/>
        </w:rPr>
        <w:t>pridonosi</w:t>
      </w:r>
      <w:r w:rsidRPr="006730D1">
        <w:rPr>
          <w:lang w:val="hr-HR"/>
        </w:rPr>
        <w:t xml:space="preserve"> stabilizaciji odnosno smanjenju udjela javnog duga u BDP-u već u ovoj godini. </w:t>
      </w:r>
      <w:r>
        <w:rPr>
          <w:lang w:val="hr-HR"/>
        </w:rPr>
        <w:t xml:space="preserve"> </w:t>
      </w:r>
      <w:r w:rsidR="00920990">
        <w:rPr>
          <w:lang w:val="hr-HR"/>
        </w:rPr>
        <w:t>F</w:t>
      </w:r>
      <w:r w:rsidR="00920990" w:rsidRPr="00920990">
        <w:rPr>
          <w:lang w:val="hr-HR"/>
        </w:rPr>
        <w:t>iskalna konsolidacija predstavlja</w:t>
      </w:r>
      <w:r w:rsidR="00920990">
        <w:rPr>
          <w:lang w:val="hr-HR"/>
        </w:rPr>
        <w:t xml:space="preserve"> i</w:t>
      </w:r>
      <w:r w:rsidR="00920990" w:rsidRPr="00920990">
        <w:rPr>
          <w:lang w:val="hr-HR"/>
        </w:rPr>
        <w:t xml:space="preserve"> jednu od obveza RH u okviru postupka prekomjernog proračunskog manjka kako bi ispunila Preporuke Vijeća ministara EU, a kojima se od RH traži da do kraja 2016. godine smanji svoj proračunski manjak ispod 3% BDP-a te dug opće države dovede na održivu putanju.</w:t>
      </w:r>
      <w:r w:rsidR="00920990">
        <w:rPr>
          <w:lang w:val="hr-HR"/>
        </w:rPr>
        <w:t xml:space="preserve"> </w:t>
      </w:r>
      <w:r>
        <w:rPr>
          <w:lang w:val="hr-HR"/>
        </w:rPr>
        <w:t xml:space="preserve">Na temelju projekcija iz Programa konvergencije RH za razdoblje 2016. - 2019., </w:t>
      </w:r>
      <w:r w:rsidRPr="00C97E89">
        <w:rPr>
          <w:lang w:val="hr-HR"/>
        </w:rPr>
        <w:t xml:space="preserve">planirani manjak proračuna konsolidirane opće države </w:t>
      </w:r>
      <w:r>
        <w:rPr>
          <w:lang w:val="hr-HR"/>
        </w:rPr>
        <w:t xml:space="preserve">sukladno ESA 2010 metodologiji </w:t>
      </w:r>
      <w:r w:rsidRPr="00C97E89">
        <w:rPr>
          <w:lang w:val="hr-HR"/>
        </w:rPr>
        <w:t>i</w:t>
      </w:r>
      <w:r>
        <w:rPr>
          <w:lang w:val="hr-HR"/>
        </w:rPr>
        <w:t>znosit će</w:t>
      </w:r>
      <w:r w:rsidRPr="00C97E89">
        <w:rPr>
          <w:lang w:val="hr-HR"/>
        </w:rPr>
        <w:t xml:space="preserve"> 2,6% BDP-a u 2016.</w:t>
      </w:r>
      <w:r w:rsidR="00465612">
        <w:rPr>
          <w:lang w:val="hr-HR"/>
        </w:rPr>
        <w:t xml:space="preserve"> godini.</w:t>
      </w:r>
      <w:r>
        <w:rPr>
          <w:lang w:val="hr-HR"/>
        </w:rPr>
        <w:t xml:space="preserve"> Europska komisija je, </w:t>
      </w:r>
      <w:r w:rsidRPr="00C97E89">
        <w:rPr>
          <w:lang w:val="hr-HR"/>
        </w:rPr>
        <w:t>uzevši u obzir sveukupnost opisanih strukturnih mjera</w:t>
      </w:r>
      <w:r>
        <w:rPr>
          <w:lang w:val="hr-HR"/>
        </w:rPr>
        <w:t xml:space="preserve"> u Programu konvergencije</w:t>
      </w:r>
      <w:r w:rsidR="00465612">
        <w:rPr>
          <w:lang w:val="hr-HR"/>
        </w:rPr>
        <w:t xml:space="preserve">, ocijenila da će RH </w:t>
      </w:r>
      <w:r w:rsidR="00465612" w:rsidRPr="00465612">
        <w:rPr>
          <w:lang w:val="hr-HR"/>
        </w:rPr>
        <w:t>ostvar</w:t>
      </w:r>
      <w:r w:rsidR="00465612">
        <w:rPr>
          <w:lang w:val="hr-HR"/>
        </w:rPr>
        <w:t>iti</w:t>
      </w:r>
      <w:r w:rsidR="00465612" w:rsidRPr="00465612">
        <w:rPr>
          <w:lang w:val="hr-HR"/>
        </w:rPr>
        <w:t xml:space="preserve"> preporučen</w:t>
      </w:r>
      <w:r w:rsidR="00465612">
        <w:rPr>
          <w:lang w:val="hr-HR"/>
        </w:rPr>
        <w:t>i</w:t>
      </w:r>
      <w:r w:rsidR="00465612" w:rsidRPr="00465612">
        <w:rPr>
          <w:lang w:val="hr-HR"/>
        </w:rPr>
        <w:t xml:space="preserve"> fiskaln</w:t>
      </w:r>
      <w:r w:rsidR="00465612">
        <w:rPr>
          <w:lang w:val="hr-HR"/>
        </w:rPr>
        <w:t>i</w:t>
      </w:r>
      <w:r w:rsidR="00465612" w:rsidRPr="00465612">
        <w:rPr>
          <w:lang w:val="hr-HR"/>
        </w:rPr>
        <w:t xml:space="preserve"> napor</w:t>
      </w:r>
      <w:r w:rsidR="00465612">
        <w:rPr>
          <w:lang w:val="hr-HR"/>
        </w:rPr>
        <w:t xml:space="preserve"> za 2016. godinu</w:t>
      </w:r>
      <w:r w:rsidR="00465612" w:rsidRPr="00465612">
        <w:rPr>
          <w:lang w:val="hr-HR"/>
        </w:rPr>
        <w:t xml:space="preserve"> u okviru postupka prekomjernog proračunskog manjka.</w:t>
      </w:r>
      <w:r>
        <w:rPr>
          <w:lang w:val="hr-HR"/>
        </w:rPr>
        <w:t xml:space="preserve"> </w:t>
      </w:r>
    </w:p>
    <w:p w:rsidR="006B783C" w:rsidRDefault="006B783C" w:rsidP="00920990">
      <w:pPr>
        <w:spacing w:after="120"/>
        <w:ind w:left="0"/>
        <w:rPr>
          <w:lang w:val="hr-HR"/>
        </w:rPr>
      </w:pPr>
      <w:r w:rsidRPr="006B783C">
        <w:rPr>
          <w:lang w:val="hr-HR"/>
        </w:rPr>
        <w:t>Do utvrđivanja srednjoročnog proračunskog cilja i plana prilagodbe vrijedi privremeno fiskalno pravilo, prema kojem međugodišnja stopa rasta rashoda općeg proračuna, sukladno ESA 2010 metodologiji, ne smije biti veća od međugodišnje stope rasta projiciranog, odnosno procijenjenog BDP-a u tekućim cijenama. Pri tome, rashodi općeg proračuna ne uključuju rashode za kamate, rashode za provođenje programa EU bez nacionalnog sufinanciranja i godišnje promjene rashoda uslijed promjena u institucionalnom obuhvatu općeg proračuna.</w:t>
      </w:r>
    </w:p>
    <w:p w:rsidR="0013766C" w:rsidRPr="00EE46B7" w:rsidRDefault="00465612" w:rsidP="006B783C">
      <w:pPr>
        <w:spacing w:after="120"/>
        <w:ind w:left="0"/>
        <w:rPr>
          <w:lang w:val="hr-HR"/>
        </w:rPr>
      </w:pPr>
      <w:r w:rsidRPr="00465612">
        <w:rPr>
          <w:lang w:val="hr-HR"/>
        </w:rPr>
        <w:t xml:space="preserve">Imajući u vidu polugodišnja </w:t>
      </w:r>
      <w:r>
        <w:rPr>
          <w:lang w:val="hr-HR"/>
        </w:rPr>
        <w:t xml:space="preserve">fiskalna </w:t>
      </w:r>
      <w:r w:rsidRPr="00465612">
        <w:rPr>
          <w:lang w:val="hr-HR"/>
        </w:rPr>
        <w:t>ostvarenja državnog proračuna</w:t>
      </w:r>
      <w:r w:rsidR="009A5AB7">
        <w:rPr>
          <w:lang w:val="hr-HR"/>
        </w:rPr>
        <w:t>,</w:t>
      </w:r>
      <w:r w:rsidRPr="00465612">
        <w:rPr>
          <w:lang w:val="hr-HR"/>
        </w:rPr>
        <w:t xml:space="preserve"> izvanproračun</w:t>
      </w:r>
      <w:r w:rsidR="009A5AB7">
        <w:rPr>
          <w:lang w:val="hr-HR"/>
        </w:rPr>
        <w:t xml:space="preserve">skih korisnika </w:t>
      </w:r>
      <w:r>
        <w:rPr>
          <w:lang w:val="hr-HR"/>
        </w:rPr>
        <w:t xml:space="preserve">te lokalne države, </w:t>
      </w:r>
      <w:r w:rsidRPr="00465612">
        <w:rPr>
          <w:lang w:val="hr-HR"/>
        </w:rPr>
        <w:t>kao i tekuća makroekonomska kretanja, procjenjuje se kako će privremeno fiskalno pravilo za 201</w:t>
      </w:r>
      <w:r>
        <w:rPr>
          <w:lang w:val="hr-HR"/>
        </w:rPr>
        <w:t>6</w:t>
      </w:r>
      <w:r w:rsidRPr="00465612">
        <w:rPr>
          <w:lang w:val="hr-HR"/>
        </w:rPr>
        <w:t>. godinu biti ispunjeno.</w:t>
      </w:r>
    </w:p>
    <w:sectPr w:rsidR="0013766C" w:rsidRPr="00EE46B7" w:rsidSect="004651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62" w:rsidRDefault="00465162" w:rsidP="00465162">
      <w:pPr>
        <w:spacing w:before="0"/>
      </w:pPr>
      <w:r>
        <w:separator/>
      </w:r>
    </w:p>
  </w:endnote>
  <w:endnote w:type="continuationSeparator" w:id="0">
    <w:p w:rsidR="00465162" w:rsidRDefault="00465162" w:rsidP="004651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2" w:rsidRDefault="0046516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16420"/>
      <w:docPartObj>
        <w:docPartGallery w:val="Page Numbers (Bottom of Page)"/>
        <w:docPartUnique/>
      </w:docPartObj>
    </w:sdtPr>
    <w:sdtEndPr/>
    <w:sdtContent>
      <w:p w:rsidR="00465162" w:rsidRDefault="0046516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D9" w:rsidRPr="00E709D9">
          <w:rPr>
            <w:noProof/>
            <w:lang w:val="hr-HR"/>
          </w:rPr>
          <w:t>2</w:t>
        </w:r>
        <w:r>
          <w:fldChar w:fldCharType="end"/>
        </w:r>
      </w:p>
    </w:sdtContent>
  </w:sdt>
  <w:p w:rsidR="00465162" w:rsidRDefault="0046516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2" w:rsidRDefault="004651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62" w:rsidRDefault="00465162" w:rsidP="00465162">
      <w:pPr>
        <w:spacing w:before="0"/>
      </w:pPr>
      <w:r>
        <w:separator/>
      </w:r>
    </w:p>
  </w:footnote>
  <w:footnote w:type="continuationSeparator" w:id="0">
    <w:p w:rsidR="00465162" w:rsidRDefault="00465162" w:rsidP="004651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2" w:rsidRDefault="004651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2" w:rsidRDefault="0046516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2" w:rsidRDefault="004651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83"/>
    <w:rsid w:val="0013766C"/>
    <w:rsid w:val="001C1D83"/>
    <w:rsid w:val="00295F35"/>
    <w:rsid w:val="00465162"/>
    <w:rsid w:val="00465612"/>
    <w:rsid w:val="006B783C"/>
    <w:rsid w:val="00920990"/>
    <w:rsid w:val="009A5AB7"/>
    <w:rsid w:val="00C97E89"/>
    <w:rsid w:val="00CB76E2"/>
    <w:rsid w:val="00DE73A5"/>
    <w:rsid w:val="00E709D9"/>
    <w:rsid w:val="00E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83"/>
    <w:pPr>
      <w:spacing w:before="120" w:after="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1C1D83"/>
    <w:pPr>
      <w:spacing w:before="100" w:beforeAutospacing="1" w:after="100" w:afterAutospacing="1"/>
      <w:ind w:left="0"/>
      <w:jc w:val="left"/>
    </w:pPr>
    <w:rPr>
      <w:lang w:val="hr-HR"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D8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D83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65162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4651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65162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4651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83"/>
    <w:pPr>
      <w:spacing w:before="120" w:after="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1C1D83"/>
    <w:pPr>
      <w:spacing w:before="100" w:beforeAutospacing="1" w:after="100" w:afterAutospacing="1"/>
      <w:ind w:left="0"/>
      <w:jc w:val="left"/>
    </w:pPr>
    <w:rPr>
      <w:lang w:val="hr-HR"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D8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D83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65162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4651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65162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4651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DDE9-D72C-437B-B6E4-74610259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Benaković</dc:creator>
  <cp:lastModifiedBy>mfkor</cp:lastModifiedBy>
  <cp:revision>8</cp:revision>
  <cp:lastPrinted>2016-09-01T06:24:00Z</cp:lastPrinted>
  <dcterms:created xsi:type="dcterms:W3CDTF">2016-08-26T12:27:00Z</dcterms:created>
  <dcterms:modified xsi:type="dcterms:W3CDTF">2016-09-12T09:45:00Z</dcterms:modified>
</cp:coreProperties>
</file>